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295F" w14:textId="77777777" w:rsidR="00AC4D44" w:rsidRPr="008B3597" w:rsidRDefault="00487524" w:rsidP="008B3597">
      <w:pPr>
        <w:jc w:val="center"/>
        <w:rPr>
          <w:b/>
          <w:sz w:val="24"/>
          <w:u w:val="single"/>
        </w:rPr>
      </w:pPr>
      <w:r w:rsidRPr="008B3597">
        <w:rPr>
          <w:b/>
          <w:sz w:val="24"/>
          <w:u w:val="single"/>
        </w:rPr>
        <w:t>Calculs et hypothèses à l’origine de l’échelle</w:t>
      </w:r>
      <w:r w:rsidR="009471D0" w:rsidRPr="008B3597">
        <w:rPr>
          <w:b/>
          <w:sz w:val="24"/>
          <w:u w:val="single"/>
        </w:rPr>
        <w:t xml:space="preserve"> de l’indice de l’impact </w:t>
      </w:r>
      <w:r w:rsidR="003F229D" w:rsidRPr="00A04409">
        <w:rPr>
          <w:b/>
          <w:sz w:val="24"/>
          <w:u w:val="single"/>
        </w:rPr>
        <w:t>carbone</w:t>
      </w:r>
      <w:r w:rsidR="00FB5FDD">
        <w:rPr>
          <w:b/>
          <w:sz w:val="24"/>
          <w:u w:val="single"/>
        </w:rPr>
        <w:t xml:space="preserve"> et explications quant à l’échelle de priorité</w:t>
      </w:r>
      <w:r w:rsidR="008E5453">
        <w:rPr>
          <w:b/>
          <w:sz w:val="24"/>
          <w:u w:val="single"/>
        </w:rPr>
        <w:t xml:space="preserve"> de l’outil OCRE</w:t>
      </w:r>
    </w:p>
    <w:p w14:paraId="7AA01EF0" w14:textId="77777777" w:rsidR="008B3597" w:rsidRDefault="008B3597" w:rsidP="008B3597">
      <w:pPr>
        <w:rPr>
          <w:b/>
        </w:rPr>
      </w:pPr>
      <w:r>
        <w:rPr>
          <w:b/>
        </w:rPr>
        <w:t>Auteur : Karim Ismail (CELEN)</w:t>
      </w:r>
    </w:p>
    <w:p w14:paraId="6BCFDFEF" w14:textId="77777777" w:rsidR="008B3597" w:rsidRDefault="00CE34F5" w:rsidP="008B3597">
      <w:pPr>
        <w:rPr>
          <w:b/>
        </w:rPr>
      </w:pPr>
      <w:r>
        <w:rPr>
          <w:b/>
        </w:rPr>
        <w:t>Date : 13</w:t>
      </w:r>
      <w:r w:rsidR="00402932">
        <w:rPr>
          <w:b/>
        </w:rPr>
        <w:t>/08</w:t>
      </w:r>
      <w:r w:rsidR="008B3597">
        <w:rPr>
          <w:b/>
        </w:rPr>
        <w:t>/2021</w:t>
      </w:r>
    </w:p>
    <w:p w14:paraId="20CED2AE" w14:textId="77777777" w:rsidR="00FB5FDD" w:rsidRDefault="00FB5FDD" w:rsidP="005C58A3">
      <w:pPr>
        <w:jc w:val="both"/>
      </w:pPr>
    </w:p>
    <w:p w14:paraId="3975249E" w14:textId="77777777" w:rsidR="00FB5FDD" w:rsidRPr="00FB5FDD" w:rsidRDefault="00FB5FDD" w:rsidP="005C58A3">
      <w:pPr>
        <w:jc w:val="both"/>
        <w:rPr>
          <w:b/>
          <w:sz w:val="24"/>
          <w:szCs w:val="24"/>
        </w:rPr>
      </w:pPr>
      <w:r w:rsidRPr="00FB5FDD">
        <w:rPr>
          <w:b/>
          <w:sz w:val="24"/>
          <w:szCs w:val="24"/>
        </w:rPr>
        <w:t>1. Calculs et hypothèses à l’origine de l’échelle de l’indice de l’impact carbone</w:t>
      </w:r>
    </w:p>
    <w:p w14:paraId="5E0A9F35" w14:textId="77777777" w:rsidR="005C58A3" w:rsidRDefault="00F939D8" w:rsidP="005C58A3">
      <w:pPr>
        <w:jc w:val="both"/>
      </w:pPr>
      <w:r>
        <w:t>Les estimations se sont basées sur</w:t>
      </w:r>
      <w:r w:rsidR="00754595">
        <w:t xml:space="preserve"> un bâtiment de référence d’une taille </w:t>
      </w:r>
      <w:r w:rsidR="005C58A3">
        <w:t xml:space="preserve">comparable à l’Athénée Royal </w:t>
      </w:r>
      <w:r w:rsidR="00DF23F9">
        <w:t xml:space="preserve">Paul Delvaux à </w:t>
      </w:r>
      <w:r w:rsidR="005C58A3">
        <w:t xml:space="preserve">Ottignies, dont l’étude a débuté </w:t>
      </w:r>
      <w:r w:rsidR="007444D6">
        <w:t>dans le cadre d’un</w:t>
      </w:r>
      <w:r w:rsidR="00754595">
        <w:t xml:space="preserve"> TFE </w:t>
      </w:r>
      <w:r w:rsidR="007444D6">
        <w:t xml:space="preserve">pour la formation ‘Responsable Énergie’. </w:t>
      </w:r>
      <w:r w:rsidR="00754595">
        <w:t xml:space="preserve"> </w:t>
      </w:r>
    </w:p>
    <w:p w14:paraId="588A9DFA" w14:textId="77777777" w:rsidR="00005281" w:rsidRPr="00887C97" w:rsidRDefault="00005281" w:rsidP="005C58A3">
      <w:pPr>
        <w:jc w:val="both"/>
      </w:pPr>
      <w:r w:rsidRPr="00887C97">
        <w:t>Pour chaque mesure, l’indice d’impact carbone évolue entre 1 et 7. L’indice est directement lié aux émissions évitées en carbone annuellement</w:t>
      </w:r>
      <w:r w:rsidR="00887C97">
        <w:t xml:space="preserve"> en cas d</w:t>
      </w:r>
      <w:r w:rsidRPr="00887C97">
        <w:t xml:space="preserve">’application de la mesure. </w:t>
      </w:r>
    </w:p>
    <w:p w14:paraId="58DB64F9" w14:textId="77777777" w:rsidR="00005281" w:rsidRPr="00887C97" w:rsidRDefault="00005281" w:rsidP="005C58A3">
      <w:pPr>
        <w:jc w:val="both"/>
        <w:rPr>
          <w:color w:val="FF0000"/>
        </w:rPr>
      </w:pPr>
      <w:r w:rsidRPr="00887C97">
        <w:t xml:space="preserve">Certaines mesures visent une diminution de la consommation énergétique. Dans ce cas de figure, il est considéré qu’1 </w:t>
      </w:r>
      <m:oMath>
        <m:r>
          <w:rPr>
            <w:rFonts w:ascii="Cambria Math" w:hAnsi="Cambria Math"/>
          </w:rPr>
          <m:t>kWh</m:t>
        </m:r>
      </m:oMath>
      <w:r w:rsidRPr="00887C97">
        <w:t xml:space="preserve"> en énergie finale entraîne l’émission de 0,235 </w:t>
      </w:r>
      <m:oMath>
        <m:sSub>
          <m:sSubPr>
            <m:ctrlPr>
              <w:rPr>
                <w:rFonts w:ascii="Cambria Math" w:hAnsi="Cambria Math"/>
                <w:i/>
              </w:rPr>
            </m:ctrlPr>
          </m:sSubPr>
          <m:e>
            <m:r>
              <w:rPr>
                <w:rFonts w:ascii="Cambria Math" w:hAnsi="Cambria Math"/>
              </w:rPr>
              <m:t>kg</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Pr="00887C97">
        <w:t xml:space="preserve"> sur le cycle complet si le vecteur énergétique est du gaz naturel. Il est considéré dans ce qui suit que l’énergie pour le chauffage est par défaut du gaz naturel. (Pour information, le fioul domestique émet 0,327 </w:t>
      </w:r>
      <m:oMath>
        <m:sSub>
          <m:sSubPr>
            <m:ctrlPr>
              <w:rPr>
                <w:rFonts w:ascii="Cambria Math" w:hAnsi="Cambria Math"/>
                <w:i/>
              </w:rPr>
            </m:ctrlPr>
          </m:sSubPr>
          <m:e>
            <m:r>
              <w:rPr>
                <w:rFonts w:ascii="Cambria Math" w:hAnsi="Cambria Math"/>
              </w:rPr>
              <m:t>kg</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Pr="00887C97">
        <w:t xml:space="preserve"> par </w:t>
      </w:r>
      <m:oMath>
        <m:r>
          <w:rPr>
            <w:rFonts w:ascii="Cambria Math" w:hAnsi="Cambria Math"/>
          </w:rPr>
          <m:t>kWh</m:t>
        </m:r>
      </m:oMath>
      <w:r w:rsidRPr="00887C97">
        <w:t xml:space="preserve"> d’énergie finale consommée.) Si le vecteur énergétique est de l’électricité, l’émission de </w:t>
      </w:r>
      <m:oMath>
        <m:sSub>
          <m:sSubPr>
            <m:ctrlPr>
              <w:rPr>
                <w:rFonts w:ascii="Cambria Math" w:hAnsi="Cambria Math"/>
                <w:i/>
              </w:rPr>
            </m:ctrlPr>
          </m:sSubPr>
          <m:e>
            <m:r>
              <w:rPr>
                <w:rFonts w:ascii="Cambria Math" w:hAnsi="Cambria Math"/>
              </w:rPr>
              <m:t>CO</m:t>
            </m:r>
          </m:e>
          <m:sub>
            <m:r>
              <w:rPr>
                <w:rFonts w:ascii="Cambria Math" w:hAnsi="Cambria Math"/>
              </w:rPr>
              <m:t>2</m:t>
            </m:r>
          </m:sub>
        </m:sSub>
      </m:oMath>
      <w:r w:rsidRPr="00887C97">
        <w:t xml:space="preserve"> est égale à 0,247 </w:t>
      </w:r>
      <m:oMath>
        <m:f>
          <m:fPr>
            <m:type m:val="lin"/>
            <m:ctrlPr>
              <w:rPr>
                <w:rFonts w:ascii="Cambria Math" w:hAnsi="Cambria Math"/>
                <w:i/>
              </w:rPr>
            </m:ctrlPr>
          </m:fPr>
          <m:num>
            <m:sSub>
              <m:sSubPr>
                <m:ctrlPr>
                  <w:rPr>
                    <w:rFonts w:ascii="Cambria Math" w:hAnsi="Cambria Math"/>
                    <w:i/>
                  </w:rPr>
                </m:ctrlPr>
              </m:sSubPr>
              <m:e>
                <m:r>
                  <w:rPr>
                    <w:rFonts w:ascii="Cambria Math" w:hAnsi="Cambria Math"/>
                  </w:rPr>
                  <m:t>kg</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num>
          <m:den>
            <m:r>
              <w:rPr>
                <w:rFonts w:ascii="Cambria Math" w:hAnsi="Cambria Math"/>
              </w:rPr>
              <m:t>kWh</m:t>
            </m:r>
          </m:den>
        </m:f>
      </m:oMath>
      <w:r w:rsidR="00F55E3A" w:rsidRPr="00887C97">
        <w:rPr>
          <w:rFonts w:eastAsiaTheme="minorEastAsia"/>
        </w:rPr>
        <w:t xml:space="preserve"> </w:t>
      </w:r>
      <w:r w:rsidRPr="00887C97">
        <w:t xml:space="preserve">pour le parc actuel de production belge. Ces données proviennent de </w:t>
      </w:r>
      <w:proofErr w:type="spellStart"/>
      <w:r w:rsidRPr="00887C97">
        <w:t>Gemis</w:t>
      </w:r>
      <w:proofErr w:type="spellEnd"/>
      <w:r w:rsidRPr="00887C97">
        <w:t xml:space="preserve"> 4.5 (Global Emission Model for Integrated </w:t>
      </w:r>
      <w:proofErr w:type="spellStart"/>
      <w:r w:rsidRPr="00887C97">
        <w:t>Systems</w:t>
      </w:r>
      <w:proofErr w:type="spellEnd"/>
      <w:r w:rsidRPr="00887C97">
        <w:t>) et prennent en compte le cycle complet du vecteur énergétique</w:t>
      </w:r>
      <w:r w:rsidR="005E5722" w:rsidRPr="00887C97">
        <w:t xml:space="preserve">, à savoir entre autres les émissions de </w:t>
      </w:r>
      <m:oMath>
        <m:sSub>
          <m:sSubPr>
            <m:ctrlPr>
              <w:rPr>
                <w:rFonts w:ascii="Cambria Math" w:hAnsi="Cambria Math"/>
                <w:i/>
              </w:rPr>
            </m:ctrlPr>
          </m:sSubPr>
          <m:e>
            <m:r>
              <w:rPr>
                <w:rFonts w:ascii="Cambria Math" w:hAnsi="Cambria Math"/>
              </w:rPr>
              <m:t>CO</m:t>
            </m:r>
          </m:e>
          <m:sub>
            <m:r>
              <w:rPr>
                <w:rFonts w:ascii="Cambria Math" w:hAnsi="Cambria Math"/>
              </w:rPr>
              <m:t>2</m:t>
            </m:r>
          </m:sub>
        </m:sSub>
      </m:oMath>
      <w:r w:rsidR="005E5722" w:rsidRPr="00887C97">
        <w:t xml:space="preserve"> associées à l’énergie primaire. </w:t>
      </w:r>
      <w:r w:rsidR="001915DF" w:rsidRPr="00887C97">
        <w:t xml:space="preserve">Des pellets correctement gérés ont un impact carbone de </w:t>
      </w:r>
      <w:r w:rsidR="00F12E36" w:rsidRPr="00887C97">
        <w:t>0,047</w:t>
      </w:r>
      <w:r w:rsidR="00F12E36">
        <w:rPr>
          <w:rFonts w:eastAsiaTheme="minorEastAsia"/>
        </w:rPr>
        <w:t xml:space="preserve"> </w:t>
      </w:r>
      <m:oMath>
        <m:f>
          <m:fPr>
            <m:type m:val="lin"/>
            <m:ctrlPr>
              <w:rPr>
                <w:rFonts w:ascii="Cambria Math" w:hAnsi="Cambria Math"/>
                <w:i/>
              </w:rPr>
            </m:ctrlPr>
          </m:fPr>
          <m:num>
            <m:sSub>
              <m:sSubPr>
                <m:ctrlPr>
                  <w:rPr>
                    <w:rFonts w:ascii="Cambria Math" w:hAnsi="Cambria Math"/>
                    <w:i/>
                  </w:rPr>
                </m:ctrlPr>
              </m:sSubPr>
              <m:e>
                <m:r>
                  <w:rPr>
                    <w:rFonts w:ascii="Cambria Math" w:hAnsi="Cambria Math"/>
                  </w:rPr>
                  <m:t>kg</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num>
          <m:den>
            <m:r>
              <w:rPr>
                <w:rFonts w:ascii="Cambria Math" w:hAnsi="Cambria Math"/>
              </w:rPr>
              <m:t>kWh</m:t>
            </m:r>
          </m:den>
        </m:f>
      </m:oMath>
      <w:r w:rsidR="00B724AB" w:rsidRPr="00887C97">
        <w:rPr>
          <w:rFonts w:eastAsiaTheme="minorEastAsia"/>
        </w:rPr>
        <w:t xml:space="preserve">, beaucoup plus faible que les énergies fossiles. </w:t>
      </w:r>
      <w:r w:rsidR="00887C97" w:rsidRPr="00887C97">
        <w:rPr>
          <w:rFonts w:eastAsiaTheme="minorEastAsia"/>
        </w:rPr>
        <w:t xml:space="preserve">Le tableau suivant fournit les gains énergétiques (en énergie finale) et les gains en </w:t>
      </w:r>
      <m:oMath>
        <m:sSub>
          <m:sSubPr>
            <m:ctrlPr>
              <w:rPr>
                <w:rFonts w:ascii="Cambria Math" w:hAnsi="Cambria Math"/>
                <w:i/>
              </w:rPr>
            </m:ctrlPr>
          </m:sSubPr>
          <m:e>
            <m:r>
              <w:rPr>
                <w:rFonts w:ascii="Cambria Math" w:hAnsi="Cambria Math"/>
              </w:rPr>
              <m:t>CO</m:t>
            </m:r>
          </m:e>
          <m:sub>
            <m:r>
              <w:rPr>
                <w:rFonts w:ascii="Cambria Math" w:hAnsi="Cambria Math"/>
              </w:rPr>
              <m:t>2</m:t>
            </m:r>
          </m:sub>
        </m:sSub>
      </m:oMath>
      <w:r w:rsidR="00887C97" w:rsidRPr="00887C97">
        <w:rPr>
          <w:rFonts w:eastAsiaTheme="minorEastAsia"/>
        </w:rPr>
        <w:t xml:space="preserve"> annuels pour les différentes valeurs possibles de l’indice d’impact carbone</w:t>
      </w:r>
      <w:r w:rsidR="00A512E6">
        <w:rPr>
          <w:rFonts w:eastAsiaTheme="minorEastAsia"/>
        </w:rPr>
        <w:t xml:space="preserve"> de l’outil OCRE</w:t>
      </w:r>
      <w:r w:rsidR="00887C97" w:rsidRPr="00887C97">
        <w:rPr>
          <w:rFonts w:eastAsiaTheme="minorEastAsia"/>
        </w:rPr>
        <w:t xml:space="preserve">. </w:t>
      </w:r>
    </w:p>
    <w:tbl>
      <w:tblPr>
        <w:tblStyle w:val="Tableausimple2"/>
        <w:tblW w:w="0" w:type="auto"/>
        <w:tblLook w:val="04A0" w:firstRow="1" w:lastRow="0" w:firstColumn="1" w:lastColumn="0" w:noHBand="0" w:noVBand="1"/>
      </w:tblPr>
      <w:tblGrid>
        <w:gridCol w:w="1019"/>
        <w:gridCol w:w="2206"/>
        <w:gridCol w:w="3109"/>
        <w:gridCol w:w="2738"/>
      </w:tblGrid>
      <w:tr w:rsidR="0084526C" w14:paraId="6C227112" w14:textId="77777777" w:rsidTr="00845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dxa"/>
            <w:shd w:val="clear" w:color="auto" w:fill="E7E6E6" w:themeFill="background2"/>
          </w:tcPr>
          <w:p w14:paraId="73BD8689" w14:textId="77777777" w:rsidR="0084526C" w:rsidRDefault="0084526C" w:rsidP="005C58A3">
            <w:pPr>
              <w:jc w:val="center"/>
            </w:pPr>
            <w:r>
              <w:t>Indice d’impact</w:t>
            </w:r>
          </w:p>
        </w:tc>
        <w:tc>
          <w:tcPr>
            <w:tcW w:w="2206" w:type="dxa"/>
            <w:shd w:val="clear" w:color="auto" w:fill="E7E6E6" w:themeFill="background2"/>
          </w:tcPr>
          <w:p w14:paraId="48DF2D0E" w14:textId="77777777" w:rsidR="0084526C" w:rsidRDefault="0084526C" w:rsidP="005C58A3">
            <w:pPr>
              <w:jc w:val="center"/>
              <w:cnfStyle w:val="100000000000" w:firstRow="1" w:lastRow="0" w:firstColumn="0" w:lastColumn="0" w:oddVBand="0" w:evenVBand="0" w:oddHBand="0" w:evenHBand="0" w:firstRowFirstColumn="0" w:firstRowLastColumn="0" w:lastRowFirstColumn="0" w:lastRowLastColumn="0"/>
            </w:pPr>
            <w:r>
              <w:t>Gains énergétiques annuels (kWh/an)</w:t>
            </w:r>
          </w:p>
        </w:tc>
        <w:tc>
          <w:tcPr>
            <w:tcW w:w="3109" w:type="dxa"/>
            <w:shd w:val="clear" w:color="auto" w:fill="E7E6E6" w:themeFill="background2"/>
          </w:tcPr>
          <w:p w14:paraId="34D05285" w14:textId="77777777" w:rsidR="0084526C" w:rsidRDefault="0084526C" w:rsidP="0084526C">
            <w:pPr>
              <w:jc w:val="center"/>
              <w:cnfStyle w:val="100000000000" w:firstRow="1" w:lastRow="0" w:firstColumn="0" w:lastColumn="0" w:oddVBand="0" w:evenVBand="0" w:oddHBand="0" w:evenHBand="0" w:firstRowFirstColumn="0" w:firstRowLastColumn="0" w:lastRowFirstColumn="0" w:lastRowLastColumn="0"/>
            </w:pPr>
            <w:r>
              <w:t>Gains en CO</w:t>
            </w:r>
            <w:r w:rsidRPr="0084526C">
              <w:rPr>
                <w:vertAlign w:val="subscript"/>
              </w:rPr>
              <w:t>2</w:t>
            </w:r>
            <w:r>
              <w:t xml:space="preserve"> annuel – </w:t>
            </w:r>
          </w:p>
          <w:p w14:paraId="36FA8964" w14:textId="77777777" w:rsidR="0084526C" w:rsidRDefault="0084526C" w:rsidP="0084526C">
            <w:pPr>
              <w:jc w:val="center"/>
              <w:cnfStyle w:val="100000000000" w:firstRow="1" w:lastRow="0" w:firstColumn="0" w:lastColumn="0" w:oddVBand="0" w:evenVBand="0" w:oddHBand="0" w:evenHBand="0" w:firstRowFirstColumn="0" w:firstRowLastColumn="0" w:lastRowFirstColumn="0" w:lastRowLastColumn="0"/>
            </w:pPr>
            <w:r>
              <w:t>gaz naturel (</w:t>
            </w:r>
            <m:oMath>
              <m:sSub>
                <m:sSubPr>
                  <m:ctrlPr>
                    <w:rPr>
                      <w:rFonts w:ascii="Cambria Math" w:hAnsi="Cambria Math"/>
                      <w:i/>
                    </w:rPr>
                  </m:ctrlPr>
                </m:sSubPr>
                <m:e>
                  <m:r>
                    <m:rPr>
                      <m:sty m:val="bi"/>
                    </m:rPr>
                    <w:rPr>
                      <w:rFonts w:ascii="Cambria Math" w:hAnsi="Cambria Math"/>
                    </w:rPr>
                    <m:t>kg</m:t>
                  </m:r>
                </m:e>
                <m:sub>
                  <m:sSub>
                    <m:sSubPr>
                      <m:ctrlPr>
                        <w:rPr>
                          <w:rFonts w:ascii="Cambria Math" w:hAnsi="Cambria Math"/>
                          <w:i/>
                        </w:rPr>
                      </m:ctrlPr>
                    </m:sSubPr>
                    <m:e>
                      <m:r>
                        <m:rPr>
                          <m:sty m:val="bi"/>
                        </m:rPr>
                        <w:rPr>
                          <w:rFonts w:ascii="Cambria Math" w:hAnsi="Cambria Math"/>
                        </w:rPr>
                        <m:t>CO</m:t>
                      </m:r>
                    </m:e>
                    <m:sub>
                      <m:r>
                        <m:rPr>
                          <m:sty m:val="bi"/>
                        </m:rPr>
                        <w:rPr>
                          <w:rFonts w:ascii="Cambria Math" w:hAnsi="Cambria Math"/>
                        </w:rPr>
                        <m:t>2</m:t>
                      </m:r>
                    </m:sub>
                  </m:sSub>
                </m:sub>
              </m:sSub>
              <m:r>
                <m:rPr>
                  <m:sty m:val="bi"/>
                </m:rPr>
                <w:rPr>
                  <w:rFonts w:ascii="Cambria Math" w:hAnsi="Cambria Math"/>
                </w:rPr>
                <m:t>/an)</m:t>
              </m:r>
            </m:oMath>
          </w:p>
        </w:tc>
        <w:tc>
          <w:tcPr>
            <w:tcW w:w="2738" w:type="dxa"/>
            <w:shd w:val="clear" w:color="auto" w:fill="E7E6E6" w:themeFill="background2"/>
          </w:tcPr>
          <w:p w14:paraId="44758956" w14:textId="77777777" w:rsidR="0084526C" w:rsidRDefault="0084526C" w:rsidP="0084526C">
            <w:pPr>
              <w:jc w:val="center"/>
              <w:cnfStyle w:val="100000000000" w:firstRow="1" w:lastRow="0" w:firstColumn="0" w:lastColumn="0" w:oddVBand="0" w:evenVBand="0" w:oddHBand="0" w:evenHBand="0" w:firstRowFirstColumn="0" w:firstRowLastColumn="0" w:lastRowFirstColumn="0" w:lastRowLastColumn="0"/>
            </w:pPr>
            <w:r>
              <w:t>Gains en CO</w:t>
            </w:r>
            <w:r w:rsidRPr="0084526C">
              <w:rPr>
                <w:vertAlign w:val="subscript"/>
              </w:rPr>
              <w:t>2</w:t>
            </w:r>
            <w:r>
              <w:t xml:space="preserve"> annuel – électricité (</w:t>
            </w:r>
            <m:oMath>
              <m:sSub>
                <m:sSubPr>
                  <m:ctrlPr>
                    <w:rPr>
                      <w:rFonts w:ascii="Cambria Math" w:hAnsi="Cambria Math"/>
                      <w:i/>
                    </w:rPr>
                  </m:ctrlPr>
                </m:sSubPr>
                <m:e>
                  <m:r>
                    <m:rPr>
                      <m:sty m:val="bi"/>
                    </m:rPr>
                    <w:rPr>
                      <w:rFonts w:ascii="Cambria Math" w:hAnsi="Cambria Math"/>
                    </w:rPr>
                    <m:t>kg</m:t>
                  </m:r>
                </m:e>
                <m:sub>
                  <m:sSub>
                    <m:sSubPr>
                      <m:ctrlPr>
                        <w:rPr>
                          <w:rFonts w:ascii="Cambria Math" w:hAnsi="Cambria Math"/>
                          <w:i/>
                        </w:rPr>
                      </m:ctrlPr>
                    </m:sSubPr>
                    <m:e>
                      <m:r>
                        <m:rPr>
                          <m:sty m:val="bi"/>
                        </m:rPr>
                        <w:rPr>
                          <w:rFonts w:ascii="Cambria Math" w:hAnsi="Cambria Math"/>
                        </w:rPr>
                        <m:t>CO</m:t>
                      </m:r>
                    </m:e>
                    <m:sub>
                      <m:r>
                        <m:rPr>
                          <m:sty m:val="bi"/>
                        </m:rPr>
                        <w:rPr>
                          <w:rFonts w:ascii="Cambria Math" w:hAnsi="Cambria Math"/>
                        </w:rPr>
                        <m:t>2</m:t>
                      </m:r>
                    </m:sub>
                  </m:sSub>
                </m:sub>
              </m:sSub>
              <m:r>
                <m:rPr>
                  <m:sty m:val="bi"/>
                </m:rPr>
                <w:rPr>
                  <w:rFonts w:ascii="Cambria Math" w:hAnsi="Cambria Math"/>
                </w:rPr>
                <m:t>/an)</m:t>
              </m:r>
            </m:oMath>
          </w:p>
        </w:tc>
      </w:tr>
      <w:tr w:rsidR="0084526C" w14:paraId="62E2B20E" w14:textId="77777777" w:rsidTr="00845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dxa"/>
          </w:tcPr>
          <w:p w14:paraId="0058AEA9" w14:textId="77777777" w:rsidR="0084526C" w:rsidRPr="007E7992" w:rsidRDefault="0084526C" w:rsidP="0084526C">
            <w:pPr>
              <w:jc w:val="center"/>
              <w:rPr>
                <w:b w:val="0"/>
              </w:rPr>
            </w:pPr>
            <w:r w:rsidRPr="007E7992">
              <w:rPr>
                <w:b w:val="0"/>
              </w:rPr>
              <w:t>1</w:t>
            </w:r>
          </w:p>
        </w:tc>
        <w:tc>
          <w:tcPr>
            <w:tcW w:w="2206" w:type="dxa"/>
          </w:tcPr>
          <w:p w14:paraId="65314B41" w14:textId="77777777" w:rsidR="0084526C" w:rsidRDefault="0084526C" w:rsidP="0084526C">
            <w:pPr>
              <w:jc w:val="center"/>
              <w:cnfStyle w:val="000000100000" w:firstRow="0" w:lastRow="0" w:firstColumn="0" w:lastColumn="0" w:oddVBand="0" w:evenVBand="0" w:oddHBand="1" w:evenHBand="0" w:firstRowFirstColumn="0" w:firstRowLastColumn="0" w:lastRowFirstColumn="0" w:lastRowLastColumn="0"/>
            </w:pPr>
            <w:r>
              <w:t xml:space="preserve">&lt; 5 000 </w:t>
            </w:r>
          </w:p>
        </w:tc>
        <w:tc>
          <w:tcPr>
            <w:tcW w:w="3109" w:type="dxa"/>
          </w:tcPr>
          <w:p w14:paraId="2F20EFDB" w14:textId="77777777" w:rsidR="0084526C" w:rsidRDefault="0084526C" w:rsidP="0084526C">
            <w:pPr>
              <w:jc w:val="center"/>
              <w:cnfStyle w:val="000000100000" w:firstRow="0" w:lastRow="0" w:firstColumn="0" w:lastColumn="0" w:oddVBand="0" w:evenVBand="0" w:oddHBand="1" w:evenHBand="0" w:firstRowFirstColumn="0" w:firstRowLastColumn="0" w:lastRowFirstColumn="0" w:lastRowLastColumn="0"/>
            </w:pPr>
            <w:r>
              <w:t>&lt; 1 175</w:t>
            </w:r>
          </w:p>
        </w:tc>
        <w:tc>
          <w:tcPr>
            <w:tcW w:w="2738" w:type="dxa"/>
          </w:tcPr>
          <w:p w14:paraId="1D9E745C" w14:textId="77777777" w:rsidR="0084526C" w:rsidRDefault="0084526C" w:rsidP="0084526C">
            <w:pPr>
              <w:jc w:val="center"/>
              <w:cnfStyle w:val="000000100000" w:firstRow="0" w:lastRow="0" w:firstColumn="0" w:lastColumn="0" w:oddVBand="0" w:evenVBand="0" w:oddHBand="1" w:evenHBand="0" w:firstRowFirstColumn="0" w:firstRowLastColumn="0" w:lastRowFirstColumn="0" w:lastRowLastColumn="0"/>
            </w:pPr>
            <w:r>
              <w:t>&lt; 1 235</w:t>
            </w:r>
          </w:p>
        </w:tc>
      </w:tr>
      <w:tr w:rsidR="0084526C" w14:paraId="5D248B61" w14:textId="77777777" w:rsidTr="0084526C">
        <w:tc>
          <w:tcPr>
            <w:cnfStyle w:val="001000000000" w:firstRow="0" w:lastRow="0" w:firstColumn="1" w:lastColumn="0" w:oddVBand="0" w:evenVBand="0" w:oddHBand="0" w:evenHBand="0" w:firstRowFirstColumn="0" w:firstRowLastColumn="0" w:lastRowFirstColumn="0" w:lastRowLastColumn="0"/>
            <w:tcW w:w="1019" w:type="dxa"/>
          </w:tcPr>
          <w:p w14:paraId="2DD5AB9D" w14:textId="77777777" w:rsidR="0084526C" w:rsidRPr="007E7992" w:rsidRDefault="0084526C" w:rsidP="0084526C">
            <w:pPr>
              <w:jc w:val="center"/>
              <w:rPr>
                <w:b w:val="0"/>
              </w:rPr>
            </w:pPr>
            <w:r w:rsidRPr="007E7992">
              <w:rPr>
                <w:b w:val="0"/>
              </w:rPr>
              <w:t>2</w:t>
            </w:r>
          </w:p>
        </w:tc>
        <w:tc>
          <w:tcPr>
            <w:tcW w:w="2206" w:type="dxa"/>
          </w:tcPr>
          <w:p w14:paraId="7925686B" w14:textId="77777777" w:rsidR="0084526C" w:rsidRDefault="0084526C" w:rsidP="0084526C">
            <w:pPr>
              <w:jc w:val="center"/>
              <w:cnfStyle w:val="000000000000" w:firstRow="0" w:lastRow="0" w:firstColumn="0" w:lastColumn="0" w:oddVBand="0" w:evenVBand="0" w:oddHBand="0" w:evenHBand="0" w:firstRowFirstColumn="0" w:firstRowLastColumn="0" w:lastRowFirstColumn="0" w:lastRowLastColumn="0"/>
            </w:pPr>
            <w:r>
              <w:t>Entre 5 000 et 20 000</w:t>
            </w:r>
          </w:p>
        </w:tc>
        <w:tc>
          <w:tcPr>
            <w:tcW w:w="3109" w:type="dxa"/>
          </w:tcPr>
          <w:p w14:paraId="2B23CE87" w14:textId="77777777" w:rsidR="0084526C" w:rsidRDefault="0084526C" w:rsidP="0084526C">
            <w:pPr>
              <w:jc w:val="center"/>
              <w:cnfStyle w:val="000000000000" w:firstRow="0" w:lastRow="0" w:firstColumn="0" w:lastColumn="0" w:oddVBand="0" w:evenVBand="0" w:oddHBand="0" w:evenHBand="0" w:firstRowFirstColumn="0" w:firstRowLastColumn="0" w:lastRowFirstColumn="0" w:lastRowLastColumn="0"/>
            </w:pPr>
            <w:r>
              <w:t>Entre 1 175 et 4 700</w:t>
            </w:r>
          </w:p>
        </w:tc>
        <w:tc>
          <w:tcPr>
            <w:tcW w:w="2738" w:type="dxa"/>
          </w:tcPr>
          <w:p w14:paraId="17B6DC0D" w14:textId="77777777" w:rsidR="0084526C" w:rsidRDefault="0084526C" w:rsidP="0084526C">
            <w:pPr>
              <w:jc w:val="center"/>
              <w:cnfStyle w:val="000000000000" w:firstRow="0" w:lastRow="0" w:firstColumn="0" w:lastColumn="0" w:oddVBand="0" w:evenVBand="0" w:oddHBand="0" w:evenHBand="0" w:firstRowFirstColumn="0" w:firstRowLastColumn="0" w:lastRowFirstColumn="0" w:lastRowLastColumn="0"/>
            </w:pPr>
            <w:r>
              <w:t>Entre 1 235 et 4 940</w:t>
            </w:r>
          </w:p>
        </w:tc>
      </w:tr>
      <w:tr w:rsidR="0084526C" w14:paraId="08E4F9BD" w14:textId="77777777" w:rsidTr="00845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dxa"/>
          </w:tcPr>
          <w:p w14:paraId="5E03EBF7" w14:textId="77777777" w:rsidR="0084526C" w:rsidRPr="007E7992" w:rsidRDefault="0084526C" w:rsidP="0084526C">
            <w:pPr>
              <w:jc w:val="center"/>
              <w:rPr>
                <w:b w:val="0"/>
              </w:rPr>
            </w:pPr>
            <w:r w:rsidRPr="007E7992">
              <w:rPr>
                <w:b w:val="0"/>
              </w:rPr>
              <w:t>3</w:t>
            </w:r>
          </w:p>
        </w:tc>
        <w:tc>
          <w:tcPr>
            <w:tcW w:w="2206" w:type="dxa"/>
          </w:tcPr>
          <w:p w14:paraId="578059DE" w14:textId="77777777" w:rsidR="0084526C" w:rsidRDefault="0084526C" w:rsidP="0084526C">
            <w:pPr>
              <w:jc w:val="center"/>
              <w:cnfStyle w:val="000000100000" w:firstRow="0" w:lastRow="0" w:firstColumn="0" w:lastColumn="0" w:oddVBand="0" w:evenVBand="0" w:oddHBand="1" w:evenHBand="0" w:firstRowFirstColumn="0" w:firstRowLastColumn="0" w:lastRowFirstColumn="0" w:lastRowLastColumn="0"/>
            </w:pPr>
            <w:r>
              <w:t>Entre 20 000 et 60 000</w:t>
            </w:r>
          </w:p>
        </w:tc>
        <w:tc>
          <w:tcPr>
            <w:tcW w:w="3109" w:type="dxa"/>
          </w:tcPr>
          <w:p w14:paraId="72046C24" w14:textId="77777777" w:rsidR="0084526C" w:rsidRDefault="0084526C" w:rsidP="0084526C">
            <w:pPr>
              <w:jc w:val="center"/>
              <w:cnfStyle w:val="000000100000" w:firstRow="0" w:lastRow="0" w:firstColumn="0" w:lastColumn="0" w:oddVBand="0" w:evenVBand="0" w:oddHBand="1" w:evenHBand="0" w:firstRowFirstColumn="0" w:firstRowLastColumn="0" w:lastRowFirstColumn="0" w:lastRowLastColumn="0"/>
            </w:pPr>
            <w:r>
              <w:t>Entre 4 700 et 14 100</w:t>
            </w:r>
          </w:p>
        </w:tc>
        <w:tc>
          <w:tcPr>
            <w:tcW w:w="2738" w:type="dxa"/>
          </w:tcPr>
          <w:p w14:paraId="2EB5A0C2" w14:textId="77777777" w:rsidR="0084526C" w:rsidRDefault="0084526C" w:rsidP="0084526C">
            <w:pPr>
              <w:jc w:val="center"/>
              <w:cnfStyle w:val="000000100000" w:firstRow="0" w:lastRow="0" w:firstColumn="0" w:lastColumn="0" w:oddVBand="0" w:evenVBand="0" w:oddHBand="1" w:evenHBand="0" w:firstRowFirstColumn="0" w:firstRowLastColumn="0" w:lastRowFirstColumn="0" w:lastRowLastColumn="0"/>
            </w:pPr>
            <w:r>
              <w:t>Entre 4 940 et 14 820</w:t>
            </w:r>
          </w:p>
        </w:tc>
      </w:tr>
      <w:tr w:rsidR="0084526C" w14:paraId="1B710733" w14:textId="77777777" w:rsidTr="0084526C">
        <w:tc>
          <w:tcPr>
            <w:cnfStyle w:val="001000000000" w:firstRow="0" w:lastRow="0" w:firstColumn="1" w:lastColumn="0" w:oddVBand="0" w:evenVBand="0" w:oddHBand="0" w:evenHBand="0" w:firstRowFirstColumn="0" w:firstRowLastColumn="0" w:lastRowFirstColumn="0" w:lastRowLastColumn="0"/>
            <w:tcW w:w="1019" w:type="dxa"/>
          </w:tcPr>
          <w:p w14:paraId="534D712B" w14:textId="77777777" w:rsidR="0084526C" w:rsidRPr="007E7992" w:rsidRDefault="0084526C" w:rsidP="0084526C">
            <w:pPr>
              <w:jc w:val="center"/>
              <w:rPr>
                <w:b w:val="0"/>
              </w:rPr>
            </w:pPr>
            <w:r w:rsidRPr="007E7992">
              <w:rPr>
                <w:b w:val="0"/>
              </w:rPr>
              <w:t>4</w:t>
            </w:r>
          </w:p>
        </w:tc>
        <w:tc>
          <w:tcPr>
            <w:tcW w:w="2206" w:type="dxa"/>
          </w:tcPr>
          <w:p w14:paraId="5CFB7096" w14:textId="77777777" w:rsidR="0084526C" w:rsidRDefault="0084526C" w:rsidP="0084526C">
            <w:pPr>
              <w:jc w:val="center"/>
              <w:cnfStyle w:val="000000000000" w:firstRow="0" w:lastRow="0" w:firstColumn="0" w:lastColumn="0" w:oddVBand="0" w:evenVBand="0" w:oddHBand="0" w:evenHBand="0" w:firstRowFirstColumn="0" w:firstRowLastColumn="0" w:lastRowFirstColumn="0" w:lastRowLastColumn="0"/>
            </w:pPr>
            <w:r>
              <w:t>Entre 60 000 et 100 000</w:t>
            </w:r>
          </w:p>
        </w:tc>
        <w:tc>
          <w:tcPr>
            <w:tcW w:w="3109" w:type="dxa"/>
          </w:tcPr>
          <w:p w14:paraId="351B0EE6" w14:textId="77777777" w:rsidR="0084526C" w:rsidRDefault="0084526C" w:rsidP="0084526C">
            <w:pPr>
              <w:jc w:val="center"/>
              <w:cnfStyle w:val="000000000000" w:firstRow="0" w:lastRow="0" w:firstColumn="0" w:lastColumn="0" w:oddVBand="0" w:evenVBand="0" w:oddHBand="0" w:evenHBand="0" w:firstRowFirstColumn="0" w:firstRowLastColumn="0" w:lastRowFirstColumn="0" w:lastRowLastColumn="0"/>
            </w:pPr>
            <w:r>
              <w:t>Entre 14 100 et 23 500</w:t>
            </w:r>
          </w:p>
        </w:tc>
        <w:tc>
          <w:tcPr>
            <w:tcW w:w="2738" w:type="dxa"/>
          </w:tcPr>
          <w:p w14:paraId="6A175050" w14:textId="77777777" w:rsidR="0084526C" w:rsidRDefault="0084526C" w:rsidP="0084526C">
            <w:pPr>
              <w:jc w:val="center"/>
              <w:cnfStyle w:val="000000000000" w:firstRow="0" w:lastRow="0" w:firstColumn="0" w:lastColumn="0" w:oddVBand="0" w:evenVBand="0" w:oddHBand="0" w:evenHBand="0" w:firstRowFirstColumn="0" w:firstRowLastColumn="0" w:lastRowFirstColumn="0" w:lastRowLastColumn="0"/>
            </w:pPr>
            <w:r>
              <w:t>Entre 14 820 et 24 700</w:t>
            </w:r>
          </w:p>
        </w:tc>
      </w:tr>
      <w:tr w:rsidR="0084526C" w14:paraId="2AA0018A" w14:textId="77777777" w:rsidTr="00845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dxa"/>
          </w:tcPr>
          <w:p w14:paraId="5A2DE5D9" w14:textId="77777777" w:rsidR="0084526C" w:rsidRPr="007E7992" w:rsidRDefault="0084526C" w:rsidP="0084526C">
            <w:pPr>
              <w:jc w:val="center"/>
              <w:rPr>
                <w:b w:val="0"/>
              </w:rPr>
            </w:pPr>
            <w:r w:rsidRPr="007E7992">
              <w:rPr>
                <w:b w:val="0"/>
              </w:rPr>
              <w:t>5</w:t>
            </w:r>
          </w:p>
        </w:tc>
        <w:tc>
          <w:tcPr>
            <w:tcW w:w="2206" w:type="dxa"/>
          </w:tcPr>
          <w:p w14:paraId="2DD7AA1F" w14:textId="77777777" w:rsidR="0084526C" w:rsidRDefault="0084526C" w:rsidP="0084526C">
            <w:pPr>
              <w:jc w:val="center"/>
              <w:cnfStyle w:val="000000100000" w:firstRow="0" w:lastRow="0" w:firstColumn="0" w:lastColumn="0" w:oddVBand="0" w:evenVBand="0" w:oddHBand="1" w:evenHBand="0" w:firstRowFirstColumn="0" w:firstRowLastColumn="0" w:lastRowFirstColumn="0" w:lastRowLastColumn="0"/>
            </w:pPr>
            <w:r>
              <w:t>Entre 100 000 et 200 000</w:t>
            </w:r>
          </w:p>
        </w:tc>
        <w:tc>
          <w:tcPr>
            <w:tcW w:w="3109" w:type="dxa"/>
          </w:tcPr>
          <w:p w14:paraId="45A63D81" w14:textId="77777777" w:rsidR="0084526C" w:rsidRDefault="0084526C" w:rsidP="0084526C">
            <w:pPr>
              <w:jc w:val="center"/>
              <w:cnfStyle w:val="000000100000" w:firstRow="0" w:lastRow="0" w:firstColumn="0" w:lastColumn="0" w:oddVBand="0" w:evenVBand="0" w:oddHBand="1" w:evenHBand="0" w:firstRowFirstColumn="0" w:firstRowLastColumn="0" w:lastRowFirstColumn="0" w:lastRowLastColumn="0"/>
            </w:pPr>
            <w:r>
              <w:t>Entre 23 500 et 47 000</w:t>
            </w:r>
          </w:p>
        </w:tc>
        <w:tc>
          <w:tcPr>
            <w:tcW w:w="2738" w:type="dxa"/>
          </w:tcPr>
          <w:p w14:paraId="15925A54" w14:textId="77777777" w:rsidR="0084526C" w:rsidRDefault="0084526C" w:rsidP="0084526C">
            <w:pPr>
              <w:jc w:val="center"/>
              <w:cnfStyle w:val="000000100000" w:firstRow="0" w:lastRow="0" w:firstColumn="0" w:lastColumn="0" w:oddVBand="0" w:evenVBand="0" w:oddHBand="1" w:evenHBand="0" w:firstRowFirstColumn="0" w:firstRowLastColumn="0" w:lastRowFirstColumn="0" w:lastRowLastColumn="0"/>
            </w:pPr>
            <w:r>
              <w:t>Entre 24 700 et 49 400</w:t>
            </w:r>
          </w:p>
        </w:tc>
      </w:tr>
      <w:tr w:rsidR="0084526C" w14:paraId="02BA1E3C" w14:textId="77777777" w:rsidTr="0084526C">
        <w:tc>
          <w:tcPr>
            <w:cnfStyle w:val="001000000000" w:firstRow="0" w:lastRow="0" w:firstColumn="1" w:lastColumn="0" w:oddVBand="0" w:evenVBand="0" w:oddHBand="0" w:evenHBand="0" w:firstRowFirstColumn="0" w:firstRowLastColumn="0" w:lastRowFirstColumn="0" w:lastRowLastColumn="0"/>
            <w:tcW w:w="1019" w:type="dxa"/>
          </w:tcPr>
          <w:p w14:paraId="5767C760" w14:textId="77777777" w:rsidR="0084526C" w:rsidRPr="007E7992" w:rsidRDefault="0084526C" w:rsidP="0084526C">
            <w:pPr>
              <w:jc w:val="center"/>
              <w:rPr>
                <w:b w:val="0"/>
              </w:rPr>
            </w:pPr>
            <w:r w:rsidRPr="007E7992">
              <w:rPr>
                <w:b w:val="0"/>
              </w:rPr>
              <w:t>6</w:t>
            </w:r>
          </w:p>
        </w:tc>
        <w:tc>
          <w:tcPr>
            <w:tcW w:w="2206" w:type="dxa"/>
          </w:tcPr>
          <w:p w14:paraId="43588936" w14:textId="77777777" w:rsidR="0084526C" w:rsidRDefault="0084526C" w:rsidP="0084526C">
            <w:pPr>
              <w:jc w:val="center"/>
              <w:cnfStyle w:val="000000000000" w:firstRow="0" w:lastRow="0" w:firstColumn="0" w:lastColumn="0" w:oddVBand="0" w:evenVBand="0" w:oddHBand="0" w:evenHBand="0" w:firstRowFirstColumn="0" w:firstRowLastColumn="0" w:lastRowFirstColumn="0" w:lastRowLastColumn="0"/>
            </w:pPr>
            <w:r>
              <w:t>Entre 200 000 et 300 000</w:t>
            </w:r>
          </w:p>
        </w:tc>
        <w:tc>
          <w:tcPr>
            <w:tcW w:w="3109" w:type="dxa"/>
          </w:tcPr>
          <w:p w14:paraId="3694C691" w14:textId="77777777" w:rsidR="0084526C" w:rsidRDefault="0084526C" w:rsidP="0084526C">
            <w:pPr>
              <w:jc w:val="center"/>
              <w:cnfStyle w:val="000000000000" w:firstRow="0" w:lastRow="0" w:firstColumn="0" w:lastColumn="0" w:oddVBand="0" w:evenVBand="0" w:oddHBand="0" w:evenHBand="0" w:firstRowFirstColumn="0" w:firstRowLastColumn="0" w:lastRowFirstColumn="0" w:lastRowLastColumn="0"/>
            </w:pPr>
            <w:r>
              <w:t>Entre 47 000 et 70 500</w:t>
            </w:r>
          </w:p>
        </w:tc>
        <w:tc>
          <w:tcPr>
            <w:tcW w:w="2738" w:type="dxa"/>
          </w:tcPr>
          <w:p w14:paraId="04927C60" w14:textId="77777777" w:rsidR="0084526C" w:rsidRDefault="0084526C" w:rsidP="0084526C">
            <w:pPr>
              <w:jc w:val="center"/>
              <w:cnfStyle w:val="000000000000" w:firstRow="0" w:lastRow="0" w:firstColumn="0" w:lastColumn="0" w:oddVBand="0" w:evenVBand="0" w:oddHBand="0" w:evenHBand="0" w:firstRowFirstColumn="0" w:firstRowLastColumn="0" w:lastRowFirstColumn="0" w:lastRowLastColumn="0"/>
            </w:pPr>
            <w:r>
              <w:t>Entre 49 400 et 74 100</w:t>
            </w:r>
          </w:p>
        </w:tc>
      </w:tr>
      <w:tr w:rsidR="0084526C" w14:paraId="788C76E7" w14:textId="77777777" w:rsidTr="00845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dxa"/>
          </w:tcPr>
          <w:p w14:paraId="39268F7B" w14:textId="77777777" w:rsidR="0084526C" w:rsidRPr="007E7992" w:rsidRDefault="0084526C" w:rsidP="0084526C">
            <w:pPr>
              <w:jc w:val="center"/>
              <w:rPr>
                <w:b w:val="0"/>
              </w:rPr>
            </w:pPr>
            <w:r w:rsidRPr="007E7992">
              <w:rPr>
                <w:b w:val="0"/>
              </w:rPr>
              <w:t>7</w:t>
            </w:r>
          </w:p>
        </w:tc>
        <w:tc>
          <w:tcPr>
            <w:tcW w:w="2206" w:type="dxa"/>
          </w:tcPr>
          <w:p w14:paraId="175B378E" w14:textId="77777777" w:rsidR="0084526C" w:rsidRDefault="0084526C" w:rsidP="0084526C">
            <w:pPr>
              <w:jc w:val="center"/>
              <w:cnfStyle w:val="000000100000" w:firstRow="0" w:lastRow="0" w:firstColumn="0" w:lastColumn="0" w:oddVBand="0" w:evenVBand="0" w:oddHBand="1" w:evenHBand="0" w:firstRowFirstColumn="0" w:firstRowLastColumn="0" w:lastRowFirstColumn="0" w:lastRowLastColumn="0"/>
            </w:pPr>
            <w:r>
              <w:t>&gt; 300 000</w:t>
            </w:r>
          </w:p>
        </w:tc>
        <w:tc>
          <w:tcPr>
            <w:tcW w:w="3109" w:type="dxa"/>
          </w:tcPr>
          <w:p w14:paraId="216F1336" w14:textId="77777777" w:rsidR="0084526C" w:rsidRDefault="0084526C" w:rsidP="0084526C">
            <w:pPr>
              <w:jc w:val="center"/>
              <w:cnfStyle w:val="000000100000" w:firstRow="0" w:lastRow="0" w:firstColumn="0" w:lastColumn="0" w:oddVBand="0" w:evenVBand="0" w:oddHBand="1" w:evenHBand="0" w:firstRowFirstColumn="0" w:firstRowLastColumn="0" w:lastRowFirstColumn="0" w:lastRowLastColumn="0"/>
            </w:pPr>
            <w:r>
              <w:t>&gt; 70 500</w:t>
            </w:r>
          </w:p>
        </w:tc>
        <w:tc>
          <w:tcPr>
            <w:tcW w:w="2738" w:type="dxa"/>
          </w:tcPr>
          <w:p w14:paraId="3D40C32D" w14:textId="77777777" w:rsidR="0084526C" w:rsidRDefault="0084526C" w:rsidP="0084526C">
            <w:pPr>
              <w:jc w:val="center"/>
              <w:cnfStyle w:val="000000100000" w:firstRow="0" w:lastRow="0" w:firstColumn="0" w:lastColumn="0" w:oddVBand="0" w:evenVBand="0" w:oddHBand="1" w:evenHBand="0" w:firstRowFirstColumn="0" w:firstRowLastColumn="0" w:lastRowFirstColumn="0" w:lastRowLastColumn="0"/>
            </w:pPr>
            <w:r>
              <w:t>&gt; 74 100</w:t>
            </w:r>
          </w:p>
        </w:tc>
      </w:tr>
    </w:tbl>
    <w:p w14:paraId="3FBA68CA" w14:textId="77777777" w:rsidR="00BA4292" w:rsidRDefault="00BA4292"/>
    <w:p w14:paraId="6D52E45F" w14:textId="77777777" w:rsidR="00677BDC" w:rsidRPr="00C34ADB" w:rsidRDefault="00B8420A" w:rsidP="00836E51">
      <w:pPr>
        <w:jc w:val="both"/>
      </w:pPr>
      <w:r w:rsidRPr="00C34ADB">
        <w:t xml:space="preserve">Dans l’outil d’évaluation, une colonne fournit, de manière indicative, les économies d’énergie primaire pour chaque mesure sous la forme d’un pourcentage. </w:t>
      </w:r>
      <w:r w:rsidR="00677BDC" w:rsidRPr="00C34ADB">
        <w:t>Pour quantifier l’énergie primaire, un facteur multiplicatif de 1 a été utilisé pour le gaz naturel, et un facteur multiplicatif de 2,5 a été utilisé pour l’électricité (tel qu’utilisé dans la législation PEB en région wallonne). Il est important de noter que cette conven</w:t>
      </w:r>
      <w:r w:rsidRPr="00C34ADB">
        <w:t>tion joue</w:t>
      </w:r>
      <w:r w:rsidR="00677BDC" w:rsidRPr="00C34ADB">
        <w:t xml:space="preserve"> en défaveur de l’usage de l’électricité. Vu la proportion en augmentation d’énergies renouvelables, le facteur 2,5 surestime la véritable énergie primaire de l’électricité</w:t>
      </w:r>
      <w:r w:rsidR="00E6514C" w:rsidRPr="00C34ADB">
        <w:t xml:space="preserve"> (et ne prend pas</w:t>
      </w:r>
      <w:r w:rsidR="00677BDC" w:rsidRPr="00C34ADB">
        <w:t xml:space="preserve"> en compte l’impact carbone, faible par exemple lorsque la production d’électricité s’effectue </w:t>
      </w:r>
      <w:r w:rsidR="00677BDC" w:rsidRPr="00C34ADB">
        <w:lastRenderedPageBreak/>
        <w:t xml:space="preserve">dans une centrale nucléaire). À l’inverse, le facteur 1 pour le gaz naturel sous-estime la véritable énergie primaire, le rendement étant physiquement inférieur à 1, et le </w:t>
      </w:r>
      <w:r w:rsidR="00AA1AD8" w:rsidRPr="00C34ADB">
        <w:t>cycle complet du gaz naturel étant</w:t>
      </w:r>
      <w:r w:rsidR="00677BDC" w:rsidRPr="00C34ADB">
        <w:t xml:space="preserve"> négligé. </w:t>
      </w:r>
    </w:p>
    <w:p w14:paraId="20100C4C" w14:textId="77777777" w:rsidR="00B724AB" w:rsidRDefault="00B724AB" w:rsidP="00836E51">
      <w:pPr>
        <w:jc w:val="both"/>
        <w:rPr>
          <w:color w:val="FF0000"/>
        </w:rPr>
      </w:pPr>
      <w:r w:rsidRPr="00B74C85">
        <w:t>Certaines mesures ne visent pas une réduction des consommations énergétiques, mais leur impact carbone peut tout de même être chiffré. C’est le cas de l’utilisation des matériaux utilisés pour les travaux d’isolation</w:t>
      </w:r>
      <w:r w:rsidR="00843C8C" w:rsidRPr="00B74C85">
        <w:t xml:space="preserve"> par exemple. </w:t>
      </w:r>
      <w:r w:rsidR="001C4F8D" w:rsidRPr="00B74C85">
        <w:t>Pour ce faire, l’outil TOTEM a été utilisé pour quantifier l’</w:t>
      </w:r>
      <w:r w:rsidR="00B74C85" w:rsidRPr="00B74C85">
        <w:t xml:space="preserve">impact </w:t>
      </w:r>
      <w:r w:rsidR="001C4F8D" w:rsidRPr="00B74C85">
        <w:t>d’une paroi avec un mauvais impact carbone (e.g. une toiture avec du PUR) et d’une paroi avec un meilleur impact carbone (e.g. une toiture avec de la cellulose), les deux parois ayant un coefficient de transmission thermique comparable pour que la comparaison ait un sens.</w:t>
      </w:r>
      <w:r w:rsidR="000D28DE">
        <w:t xml:space="preserve"> </w:t>
      </w:r>
      <w:r w:rsidR="000D28DE" w:rsidRPr="000D28DE">
        <w:t xml:space="preserve">La différence dans l’impact carbone est prise comme la quantité de </w:t>
      </w:r>
      <m:oMath>
        <m:sSub>
          <m:sSubPr>
            <m:ctrlPr>
              <w:rPr>
                <w:rFonts w:ascii="Cambria Math" w:hAnsi="Cambria Math"/>
                <w:i/>
              </w:rPr>
            </m:ctrlPr>
          </m:sSubPr>
          <m:e>
            <m:r>
              <w:rPr>
                <w:rFonts w:ascii="Cambria Math" w:hAnsi="Cambria Math"/>
              </w:rPr>
              <m:t>CO</m:t>
            </m:r>
          </m:e>
          <m:sub>
            <m:r>
              <w:rPr>
                <w:rFonts w:ascii="Cambria Math" w:hAnsi="Cambria Math"/>
              </w:rPr>
              <m:t>2</m:t>
            </m:r>
          </m:sub>
        </m:sSub>
      </m:oMath>
      <w:r w:rsidR="000D28DE" w:rsidRPr="000D28DE">
        <w:t xml:space="preserve"> équivalent épargné.</w:t>
      </w:r>
      <w:r w:rsidR="001C4F8D" w:rsidRPr="000D28DE">
        <w:t xml:space="preserve"> </w:t>
      </w:r>
      <w:r w:rsidR="001C4F8D" w:rsidRPr="00B74C85">
        <w:t xml:space="preserve">Ce travail a été effectué pour l’isolation des toitures, des murs, des sols et des fenêtres. </w:t>
      </w:r>
      <w:r w:rsidR="00B74C85" w:rsidRPr="00B74C85">
        <w:t xml:space="preserve">Il a été fait comme hypothèse que la durée de vie des toitures, sols et murs était de 60 ans et que la durée de vie des fenêtres était de 40 ans. Aussi, il a été considéré que la part de l’impact monétarisé des matériaux par rapport à la part de l’impact total (matériaux et énergie) s’appliquait au critère du réchauffement climatique pris indépendamment. </w:t>
      </w:r>
      <w:r w:rsidR="00B74C85" w:rsidRPr="000A0965">
        <w:t xml:space="preserve">Les résultats sont les suivants. </w:t>
      </w:r>
    </w:p>
    <w:tbl>
      <w:tblPr>
        <w:tblStyle w:val="TableauListe6Couleur"/>
        <w:tblW w:w="0" w:type="auto"/>
        <w:tblLook w:val="04A0" w:firstRow="1" w:lastRow="0" w:firstColumn="1" w:lastColumn="0" w:noHBand="0" w:noVBand="1"/>
      </w:tblPr>
      <w:tblGrid>
        <w:gridCol w:w="3110"/>
        <w:gridCol w:w="3154"/>
        <w:gridCol w:w="2798"/>
      </w:tblGrid>
      <w:tr w:rsidR="000D28DE" w14:paraId="7C527494" w14:textId="77777777" w:rsidTr="000D28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shd w:val="clear" w:color="auto" w:fill="F2F2F2" w:themeFill="background1" w:themeFillShade="F2"/>
          </w:tcPr>
          <w:p w14:paraId="22B475C9" w14:textId="77777777" w:rsidR="000D28DE" w:rsidRDefault="000D28DE" w:rsidP="000D28DE">
            <w:pPr>
              <w:jc w:val="center"/>
            </w:pPr>
            <w:proofErr w:type="spellStart"/>
            <w:r>
              <w:t>Élement</w:t>
            </w:r>
            <w:proofErr w:type="spellEnd"/>
          </w:p>
        </w:tc>
        <w:tc>
          <w:tcPr>
            <w:tcW w:w="3154" w:type="dxa"/>
            <w:shd w:val="clear" w:color="auto" w:fill="F2F2F2" w:themeFill="background1" w:themeFillShade="F2"/>
          </w:tcPr>
          <w:p w14:paraId="00176003" w14:textId="77777777" w:rsidR="000D28DE" w:rsidRDefault="000D28DE" w:rsidP="000D28DE">
            <w:pPr>
              <w:jc w:val="center"/>
              <w:cnfStyle w:val="100000000000" w:firstRow="1" w:lastRow="0" w:firstColumn="0" w:lastColumn="0" w:oddVBand="0" w:evenVBand="0" w:oddHBand="0" w:evenHBand="0" w:firstRowFirstColumn="0" w:firstRowLastColumn="0" w:lastRowFirstColumn="0" w:lastRowLastColumn="0"/>
            </w:pPr>
            <w:r>
              <w:t>Gains en CO</w:t>
            </w:r>
            <w:r w:rsidRPr="00810459">
              <w:rPr>
                <w:vertAlign w:val="subscript"/>
              </w:rPr>
              <w:t>2</w:t>
            </w:r>
            <w:r>
              <w:t xml:space="preserve"> annuel </w:t>
            </w:r>
          </w:p>
          <w:p w14:paraId="1BCB0B37" w14:textId="77777777" w:rsidR="000D28DE" w:rsidRDefault="000D28DE" w:rsidP="000D28DE">
            <w:pPr>
              <w:jc w:val="center"/>
              <w:cnfStyle w:val="100000000000" w:firstRow="1" w:lastRow="0" w:firstColumn="0" w:lastColumn="0" w:oddVBand="0" w:evenVBand="0" w:oddHBand="0" w:evenHBand="0" w:firstRowFirstColumn="0" w:firstRowLastColumn="0" w:lastRowFirstColumn="0" w:lastRowLastColumn="0"/>
            </w:pPr>
            <w:r>
              <w:t>(</w:t>
            </w:r>
            <m:oMath>
              <m:sSub>
                <m:sSubPr>
                  <m:ctrlPr>
                    <w:rPr>
                      <w:rFonts w:ascii="Cambria Math" w:hAnsi="Cambria Math"/>
                      <w:color w:val="auto"/>
                    </w:rPr>
                  </m:ctrlPr>
                </m:sSubPr>
                <m:e>
                  <m:r>
                    <m:rPr>
                      <m:sty m:val="bi"/>
                    </m:rPr>
                    <w:rPr>
                      <w:rFonts w:ascii="Cambria Math" w:hAnsi="Cambria Math"/>
                    </w:rPr>
                    <m:t>kg</m:t>
                  </m:r>
                </m:e>
                <m:sub>
                  <m:r>
                    <m:rPr>
                      <m:sty m:val="b"/>
                    </m:rPr>
                    <w:rPr>
                      <w:rFonts w:ascii="Cambria Math" w:hAnsi="Cambria Math"/>
                    </w:rPr>
                    <m:t>é</m:t>
                  </m:r>
                  <m:r>
                    <m:rPr>
                      <m:sty m:val="bi"/>
                    </m:rPr>
                    <w:rPr>
                      <w:rFonts w:ascii="Cambria Math" w:hAnsi="Cambria Math"/>
                    </w:rPr>
                    <m:t>q</m:t>
                  </m:r>
                  <m:r>
                    <m:rPr>
                      <m:sty m:val="b"/>
                    </m:rPr>
                    <w:rPr>
                      <w:rFonts w:ascii="Cambria Math" w:hAnsi="Cambria Math"/>
                    </w:rPr>
                    <m:t xml:space="preserve">, </m:t>
                  </m:r>
                  <m:sSub>
                    <m:sSubPr>
                      <m:ctrlPr>
                        <w:rPr>
                          <w:rFonts w:ascii="Cambria Math" w:hAnsi="Cambria Math"/>
                          <w:color w:val="auto"/>
                        </w:rPr>
                      </m:ctrlPr>
                    </m:sSubPr>
                    <m:e>
                      <m:r>
                        <m:rPr>
                          <m:sty m:val="bi"/>
                        </m:rPr>
                        <w:rPr>
                          <w:rFonts w:ascii="Cambria Math" w:hAnsi="Cambria Math"/>
                        </w:rPr>
                        <m:t>CO</m:t>
                      </m:r>
                    </m:e>
                    <m:sub>
                      <m:r>
                        <m:rPr>
                          <m:sty m:val="b"/>
                        </m:rPr>
                        <w:rPr>
                          <w:rFonts w:ascii="Cambria Math" w:hAnsi="Cambria Math"/>
                        </w:rPr>
                        <m:t>2</m:t>
                      </m:r>
                    </m:sub>
                  </m:sSub>
                </m:sub>
              </m:sSub>
              <m:r>
                <m:rPr>
                  <m:sty m:val="b"/>
                </m:rPr>
                <w:rPr>
                  <w:rFonts w:ascii="Cambria Math" w:hAnsi="Cambria Math"/>
                </w:rPr>
                <m:t>/</m:t>
              </m:r>
              <m:r>
                <m:rPr>
                  <m:sty m:val="bi"/>
                </m:rPr>
                <w:rPr>
                  <w:rFonts w:ascii="Cambria Math" w:hAnsi="Cambria Math"/>
                </w:rPr>
                <m:t>an</m:t>
              </m:r>
              <m:r>
                <m:rPr>
                  <m:sty m:val="b"/>
                </m:rPr>
                <w:rPr>
                  <w:rFonts w:ascii="Cambria Math" w:hAnsi="Cambria Math"/>
                </w:rPr>
                <m:t>)</m:t>
              </m:r>
            </m:oMath>
          </w:p>
        </w:tc>
        <w:tc>
          <w:tcPr>
            <w:tcW w:w="2798" w:type="dxa"/>
            <w:shd w:val="clear" w:color="auto" w:fill="F2F2F2" w:themeFill="background1" w:themeFillShade="F2"/>
          </w:tcPr>
          <w:p w14:paraId="5779F254" w14:textId="77777777" w:rsidR="000D28DE" w:rsidRDefault="000D28DE" w:rsidP="000D28DE">
            <w:pPr>
              <w:jc w:val="center"/>
              <w:cnfStyle w:val="100000000000" w:firstRow="1" w:lastRow="0" w:firstColumn="0" w:lastColumn="0" w:oddVBand="0" w:evenVBand="0" w:oddHBand="0" w:evenHBand="0" w:firstRowFirstColumn="0" w:firstRowLastColumn="0" w:lastRowFirstColumn="0" w:lastRowLastColumn="0"/>
            </w:pPr>
            <w:r>
              <w:t>Indice d’impact</w:t>
            </w:r>
          </w:p>
        </w:tc>
      </w:tr>
      <w:tr w:rsidR="000D28DE" w14:paraId="52B13A24" w14:textId="77777777" w:rsidTr="000D2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Borders>
              <w:top w:val="single" w:sz="4" w:space="0" w:color="000000" w:themeColor="text1"/>
              <w:bottom w:val="single" w:sz="4" w:space="0" w:color="auto"/>
            </w:tcBorders>
            <w:shd w:val="clear" w:color="auto" w:fill="auto"/>
          </w:tcPr>
          <w:p w14:paraId="024F3978" w14:textId="77777777" w:rsidR="000D28DE" w:rsidRPr="000D28DE" w:rsidRDefault="000D28DE" w:rsidP="000D28DE">
            <w:pPr>
              <w:jc w:val="center"/>
              <w:rPr>
                <w:b w:val="0"/>
              </w:rPr>
            </w:pPr>
            <w:r w:rsidRPr="000D28DE">
              <w:rPr>
                <w:b w:val="0"/>
              </w:rPr>
              <w:t>Toitures</w:t>
            </w:r>
          </w:p>
        </w:tc>
        <w:tc>
          <w:tcPr>
            <w:tcW w:w="3154" w:type="dxa"/>
            <w:tcBorders>
              <w:top w:val="single" w:sz="4" w:space="0" w:color="000000" w:themeColor="text1"/>
              <w:bottom w:val="single" w:sz="4" w:space="0" w:color="auto"/>
            </w:tcBorders>
            <w:shd w:val="clear" w:color="auto" w:fill="auto"/>
          </w:tcPr>
          <w:p w14:paraId="345C730E" w14:textId="77777777" w:rsidR="000D28DE" w:rsidRPr="000D28DE" w:rsidRDefault="000D28DE" w:rsidP="000D28DE">
            <w:pPr>
              <w:jc w:val="center"/>
              <w:cnfStyle w:val="000000100000" w:firstRow="0" w:lastRow="0" w:firstColumn="0" w:lastColumn="0" w:oddVBand="0" w:evenVBand="0" w:oddHBand="1" w:evenHBand="0" w:firstRowFirstColumn="0" w:firstRowLastColumn="0" w:lastRowFirstColumn="0" w:lastRowLastColumn="0"/>
            </w:pPr>
            <w:r w:rsidRPr="000D28DE">
              <w:t>15 183</w:t>
            </w:r>
          </w:p>
        </w:tc>
        <w:tc>
          <w:tcPr>
            <w:tcW w:w="2798" w:type="dxa"/>
            <w:tcBorders>
              <w:top w:val="single" w:sz="4" w:space="0" w:color="000000" w:themeColor="text1"/>
              <w:bottom w:val="single" w:sz="4" w:space="0" w:color="auto"/>
            </w:tcBorders>
            <w:shd w:val="clear" w:color="auto" w:fill="auto"/>
          </w:tcPr>
          <w:p w14:paraId="59B6BE59" w14:textId="77777777" w:rsidR="000D28DE" w:rsidRPr="000D28DE" w:rsidRDefault="000D28DE" w:rsidP="000D28DE">
            <w:pPr>
              <w:jc w:val="center"/>
              <w:cnfStyle w:val="000000100000" w:firstRow="0" w:lastRow="0" w:firstColumn="0" w:lastColumn="0" w:oddVBand="0" w:evenVBand="0" w:oddHBand="1" w:evenHBand="0" w:firstRowFirstColumn="0" w:firstRowLastColumn="0" w:lastRowFirstColumn="0" w:lastRowLastColumn="0"/>
            </w:pPr>
            <w:r w:rsidRPr="000D28DE">
              <w:t>4</w:t>
            </w:r>
          </w:p>
        </w:tc>
      </w:tr>
      <w:tr w:rsidR="000D28DE" w14:paraId="4A9F92EB" w14:textId="77777777" w:rsidTr="000D28DE">
        <w:tc>
          <w:tcPr>
            <w:cnfStyle w:val="001000000000" w:firstRow="0" w:lastRow="0" w:firstColumn="1" w:lastColumn="0" w:oddVBand="0" w:evenVBand="0" w:oddHBand="0" w:evenHBand="0" w:firstRowFirstColumn="0" w:firstRowLastColumn="0" w:lastRowFirstColumn="0" w:lastRowLastColumn="0"/>
            <w:tcW w:w="3110" w:type="dxa"/>
            <w:tcBorders>
              <w:top w:val="single" w:sz="4" w:space="0" w:color="auto"/>
              <w:bottom w:val="single" w:sz="4" w:space="0" w:color="auto"/>
            </w:tcBorders>
            <w:shd w:val="clear" w:color="auto" w:fill="auto"/>
          </w:tcPr>
          <w:p w14:paraId="741060CD" w14:textId="77777777" w:rsidR="000D28DE" w:rsidRPr="000D28DE" w:rsidRDefault="000D28DE" w:rsidP="000D28DE">
            <w:pPr>
              <w:jc w:val="center"/>
              <w:rPr>
                <w:b w:val="0"/>
              </w:rPr>
            </w:pPr>
            <w:r w:rsidRPr="000D28DE">
              <w:rPr>
                <w:b w:val="0"/>
              </w:rPr>
              <w:t>Murs</w:t>
            </w:r>
          </w:p>
        </w:tc>
        <w:tc>
          <w:tcPr>
            <w:tcW w:w="3154" w:type="dxa"/>
            <w:tcBorders>
              <w:top w:val="single" w:sz="4" w:space="0" w:color="auto"/>
              <w:bottom w:val="single" w:sz="4" w:space="0" w:color="auto"/>
            </w:tcBorders>
            <w:shd w:val="clear" w:color="auto" w:fill="auto"/>
          </w:tcPr>
          <w:p w14:paraId="335E7DA1" w14:textId="77777777" w:rsidR="000D28DE" w:rsidRPr="00D1502E" w:rsidRDefault="00E5453A" w:rsidP="000D28DE">
            <w:pPr>
              <w:jc w:val="center"/>
              <w:cnfStyle w:val="000000000000" w:firstRow="0" w:lastRow="0" w:firstColumn="0" w:lastColumn="0" w:oddVBand="0" w:evenVBand="0" w:oddHBand="0" w:evenHBand="0" w:firstRowFirstColumn="0" w:firstRowLastColumn="0" w:lastRowFirstColumn="0" w:lastRowLastColumn="0"/>
              <w:rPr>
                <w:color w:val="auto"/>
              </w:rPr>
            </w:pPr>
            <w:r w:rsidRPr="00D1502E">
              <w:rPr>
                <w:color w:val="auto"/>
              </w:rPr>
              <w:t>17 617</w:t>
            </w:r>
          </w:p>
        </w:tc>
        <w:tc>
          <w:tcPr>
            <w:tcW w:w="2798" w:type="dxa"/>
            <w:tcBorders>
              <w:top w:val="single" w:sz="4" w:space="0" w:color="auto"/>
              <w:bottom w:val="single" w:sz="4" w:space="0" w:color="auto"/>
            </w:tcBorders>
            <w:shd w:val="clear" w:color="auto" w:fill="auto"/>
          </w:tcPr>
          <w:p w14:paraId="4B06455B" w14:textId="77777777" w:rsidR="000D28DE" w:rsidRPr="000D28DE" w:rsidRDefault="0095607F" w:rsidP="000D28DE">
            <w:pPr>
              <w:jc w:val="center"/>
              <w:cnfStyle w:val="000000000000" w:firstRow="0" w:lastRow="0" w:firstColumn="0" w:lastColumn="0" w:oddVBand="0" w:evenVBand="0" w:oddHBand="0" w:evenHBand="0" w:firstRowFirstColumn="0" w:firstRowLastColumn="0" w:lastRowFirstColumn="0" w:lastRowLastColumn="0"/>
            </w:pPr>
            <w:r>
              <w:t>4</w:t>
            </w:r>
          </w:p>
        </w:tc>
      </w:tr>
      <w:tr w:rsidR="000D28DE" w14:paraId="3A870F45" w14:textId="77777777" w:rsidTr="000D2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Borders>
              <w:top w:val="single" w:sz="4" w:space="0" w:color="auto"/>
              <w:bottom w:val="single" w:sz="4" w:space="0" w:color="auto"/>
            </w:tcBorders>
            <w:shd w:val="clear" w:color="auto" w:fill="auto"/>
          </w:tcPr>
          <w:p w14:paraId="66D4198F" w14:textId="77777777" w:rsidR="000D28DE" w:rsidRPr="000D28DE" w:rsidRDefault="000D28DE" w:rsidP="000D28DE">
            <w:pPr>
              <w:jc w:val="center"/>
              <w:rPr>
                <w:b w:val="0"/>
              </w:rPr>
            </w:pPr>
            <w:r w:rsidRPr="000D28DE">
              <w:rPr>
                <w:b w:val="0"/>
              </w:rPr>
              <w:t>Sols</w:t>
            </w:r>
          </w:p>
        </w:tc>
        <w:tc>
          <w:tcPr>
            <w:tcW w:w="3154" w:type="dxa"/>
            <w:tcBorders>
              <w:top w:val="single" w:sz="4" w:space="0" w:color="auto"/>
              <w:bottom w:val="single" w:sz="4" w:space="0" w:color="auto"/>
            </w:tcBorders>
            <w:shd w:val="clear" w:color="auto" w:fill="auto"/>
          </w:tcPr>
          <w:p w14:paraId="71E57B22" w14:textId="77777777" w:rsidR="000D28DE" w:rsidRPr="00D1502E" w:rsidRDefault="000D28DE" w:rsidP="000D28DE">
            <w:pPr>
              <w:jc w:val="center"/>
              <w:cnfStyle w:val="000000100000" w:firstRow="0" w:lastRow="0" w:firstColumn="0" w:lastColumn="0" w:oddVBand="0" w:evenVBand="0" w:oddHBand="1" w:evenHBand="0" w:firstRowFirstColumn="0" w:firstRowLastColumn="0" w:lastRowFirstColumn="0" w:lastRowLastColumn="0"/>
              <w:rPr>
                <w:color w:val="auto"/>
              </w:rPr>
            </w:pPr>
            <w:r w:rsidRPr="00D1502E">
              <w:rPr>
                <w:color w:val="auto"/>
              </w:rPr>
              <w:t>3</w:t>
            </w:r>
            <w:r w:rsidR="00E5453A" w:rsidRPr="00D1502E">
              <w:rPr>
                <w:color w:val="auto"/>
              </w:rPr>
              <w:t xml:space="preserve"> </w:t>
            </w:r>
            <w:r w:rsidRPr="00D1502E">
              <w:rPr>
                <w:color w:val="auto"/>
              </w:rPr>
              <w:t>720</w:t>
            </w:r>
          </w:p>
        </w:tc>
        <w:tc>
          <w:tcPr>
            <w:tcW w:w="2798" w:type="dxa"/>
            <w:tcBorders>
              <w:top w:val="single" w:sz="4" w:space="0" w:color="auto"/>
              <w:bottom w:val="single" w:sz="4" w:space="0" w:color="auto"/>
            </w:tcBorders>
            <w:shd w:val="clear" w:color="auto" w:fill="auto"/>
          </w:tcPr>
          <w:p w14:paraId="0BB1AEAE" w14:textId="77777777" w:rsidR="000D28DE" w:rsidRPr="000D28DE" w:rsidRDefault="000D28DE" w:rsidP="000D28DE">
            <w:pPr>
              <w:jc w:val="center"/>
              <w:cnfStyle w:val="000000100000" w:firstRow="0" w:lastRow="0" w:firstColumn="0" w:lastColumn="0" w:oddVBand="0" w:evenVBand="0" w:oddHBand="1" w:evenHBand="0" w:firstRowFirstColumn="0" w:firstRowLastColumn="0" w:lastRowFirstColumn="0" w:lastRowLastColumn="0"/>
            </w:pPr>
            <w:r w:rsidRPr="000D28DE">
              <w:t>2</w:t>
            </w:r>
          </w:p>
        </w:tc>
      </w:tr>
      <w:tr w:rsidR="000D28DE" w14:paraId="12040DE6" w14:textId="77777777" w:rsidTr="000D28DE">
        <w:tc>
          <w:tcPr>
            <w:cnfStyle w:val="001000000000" w:firstRow="0" w:lastRow="0" w:firstColumn="1" w:lastColumn="0" w:oddVBand="0" w:evenVBand="0" w:oddHBand="0" w:evenHBand="0" w:firstRowFirstColumn="0" w:firstRowLastColumn="0" w:lastRowFirstColumn="0" w:lastRowLastColumn="0"/>
            <w:tcW w:w="3110" w:type="dxa"/>
            <w:tcBorders>
              <w:top w:val="single" w:sz="4" w:space="0" w:color="auto"/>
              <w:bottom w:val="single" w:sz="4" w:space="0" w:color="000000" w:themeColor="text1"/>
            </w:tcBorders>
            <w:shd w:val="clear" w:color="auto" w:fill="auto"/>
          </w:tcPr>
          <w:p w14:paraId="6A619D89" w14:textId="77777777" w:rsidR="000D28DE" w:rsidRPr="000D28DE" w:rsidRDefault="000D28DE" w:rsidP="000D28DE">
            <w:pPr>
              <w:jc w:val="center"/>
              <w:rPr>
                <w:b w:val="0"/>
              </w:rPr>
            </w:pPr>
            <w:r w:rsidRPr="000D28DE">
              <w:rPr>
                <w:b w:val="0"/>
              </w:rPr>
              <w:t>Fenêtres</w:t>
            </w:r>
          </w:p>
        </w:tc>
        <w:tc>
          <w:tcPr>
            <w:tcW w:w="3154" w:type="dxa"/>
            <w:tcBorders>
              <w:top w:val="single" w:sz="4" w:space="0" w:color="auto"/>
              <w:bottom w:val="single" w:sz="4" w:space="0" w:color="000000" w:themeColor="text1"/>
            </w:tcBorders>
            <w:shd w:val="clear" w:color="auto" w:fill="auto"/>
          </w:tcPr>
          <w:p w14:paraId="3DE577F2" w14:textId="77777777" w:rsidR="000D28DE" w:rsidRPr="00D1502E" w:rsidRDefault="00E5453A" w:rsidP="000D28DE">
            <w:pPr>
              <w:jc w:val="center"/>
              <w:cnfStyle w:val="000000000000" w:firstRow="0" w:lastRow="0" w:firstColumn="0" w:lastColumn="0" w:oddVBand="0" w:evenVBand="0" w:oddHBand="0" w:evenHBand="0" w:firstRowFirstColumn="0" w:firstRowLastColumn="0" w:lastRowFirstColumn="0" w:lastRowLastColumn="0"/>
              <w:rPr>
                <w:color w:val="auto"/>
              </w:rPr>
            </w:pPr>
            <w:r w:rsidRPr="00D1502E">
              <w:rPr>
                <w:color w:val="auto"/>
              </w:rPr>
              <w:t>3 392</w:t>
            </w:r>
          </w:p>
        </w:tc>
        <w:tc>
          <w:tcPr>
            <w:tcW w:w="2798" w:type="dxa"/>
            <w:tcBorders>
              <w:top w:val="single" w:sz="4" w:space="0" w:color="auto"/>
              <w:bottom w:val="single" w:sz="4" w:space="0" w:color="000000" w:themeColor="text1"/>
            </w:tcBorders>
            <w:shd w:val="clear" w:color="auto" w:fill="auto"/>
          </w:tcPr>
          <w:p w14:paraId="27375D53" w14:textId="77777777" w:rsidR="000D28DE" w:rsidRPr="000D28DE" w:rsidRDefault="000D28DE" w:rsidP="000D28DE">
            <w:pPr>
              <w:jc w:val="center"/>
              <w:cnfStyle w:val="000000000000" w:firstRow="0" w:lastRow="0" w:firstColumn="0" w:lastColumn="0" w:oddVBand="0" w:evenVBand="0" w:oddHBand="0" w:evenHBand="0" w:firstRowFirstColumn="0" w:firstRowLastColumn="0" w:lastRowFirstColumn="0" w:lastRowLastColumn="0"/>
            </w:pPr>
            <w:r w:rsidRPr="000D28DE">
              <w:t>2</w:t>
            </w:r>
          </w:p>
        </w:tc>
      </w:tr>
    </w:tbl>
    <w:p w14:paraId="4095F4BD" w14:textId="77777777" w:rsidR="00B724AB" w:rsidRDefault="00B724AB" w:rsidP="00836E51">
      <w:pPr>
        <w:jc w:val="both"/>
      </w:pPr>
    </w:p>
    <w:p w14:paraId="53DADBBD" w14:textId="77777777" w:rsidR="00DE1EF1" w:rsidRPr="00DE1EF1" w:rsidRDefault="00DE1EF1" w:rsidP="00836E51">
      <w:pPr>
        <w:jc w:val="both"/>
      </w:pPr>
      <w:r w:rsidRPr="00DE1EF1">
        <w:t>Il s’agit d’estimations permettant</w:t>
      </w:r>
      <w:r>
        <w:t>, comme pour les gains énergétiques,</w:t>
      </w:r>
      <w:r w:rsidRPr="00DE1EF1">
        <w:t xml:space="preserve"> une cotation semi-quantitative. L’objectif est de favoriser la prise en compte de l’analyse du cycle de vie des matériaux, et la volonté est que l’étude TOTEM ait effectivement lieu pour guider les choix de matériaux. </w:t>
      </w:r>
    </w:p>
    <w:p w14:paraId="0E2CBCC7" w14:textId="77777777" w:rsidR="007E7992" w:rsidRPr="00B60CF3" w:rsidRDefault="007E7992" w:rsidP="00836E51">
      <w:pPr>
        <w:jc w:val="both"/>
        <w:rPr>
          <w:color w:val="FF0000"/>
        </w:rPr>
      </w:pPr>
      <w:r>
        <w:t xml:space="preserve">Pour chaque mesure, les gains énergétiques annuels estimés </w:t>
      </w:r>
      <w:r w:rsidR="00584A2B">
        <w:t xml:space="preserve">(quand c’est pertinent) </w:t>
      </w:r>
      <w:r>
        <w:t>sont donnés au tableau suivant, avec l’indicateur d’impact associé.</w:t>
      </w:r>
      <w:r w:rsidR="00B60CF3">
        <w:t xml:space="preserve"> </w:t>
      </w:r>
      <w:r w:rsidR="00B60CF3" w:rsidRPr="00B60CF3">
        <w:t xml:space="preserve">Pour certaines mesures, un indicateur d’impact a été octroyé de manière intuitive (et donc </w:t>
      </w:r>
      <w:r w:rsidR="00514C0D">
        <w:t xml:space="preserve">de manière plus </w:t>
      </w:r>
      <w:r w:rsidR="00B60CF3" w:rsidRPr="00B60CF3">
        <w:t xml:space="preserve">subjective), il s’agit des indicateurs apparaissant en vert. </w:t>
      </w:r>
    </w:p>
    <w:tbl>
      <w:tblPr>
        <w:tblStyle w:val="Tableausimple2"/>
        <w:tblW w:w="9639" w:type="dxa"/>
        <w:tblLook w:val="04A0" w:firstRow="1" w:lastRow="0" w:firstColumn="1" w:lastColumn="0" w:noHBand="0" w:noVBand="1"/>
      </w:tblPr>
      <w:tblGrid>
        <w:gridCol w:w="2690"/>
        <w:gridCol w:w="1982"/>
        <w:gridCol w:w="1149"/>
        <w:gridCol w:w="3818"/>
      </w:tblGrid>
      <w:tr w:rsidR="00BA4292" w14:paraId="1641FBEB" w14:textId="77777777" w:rsidTr="007E79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E7E6E6" w:themeFill="background2"/>
          </w:tcPr>
          <w:p w14:paraId="6552CCF9" w14:textId="77777777" w:rsidR="00BA4292" w:rsidRDefault="00BA4292" w:rsidP="00BA4292">
            <w:pPr>
              <w:jc w:val="center"/>
            </w:pPr>
            <w:r>
              <w:t>Mesure</w:t>
            </w:r>
          </w:p>
        </w:tc>
        <w:tc>
          <w:tcPr>
            <w:tcW w:w="1982" w:type="dxa"/>
            <w:shd w:val="clear" w:color="auto" w:fill="E7E6E6" w:themeFill="background2"/>
          </w:tcPr>
          <w:p w14:paraId="348E4C84" w14:textId="77777777" w:rsidR="00BA4292" w:rsidRDefault="00BA4292" w:rsidP="00BA4292">
            <w:pPr>
              <w:jc w:val="center"/>
              <w:cnfStyle w:val="100000000000" w:firstRow="1" w:lastRow="0" w:firstColumn="0" w:lastColumn="0" w:oddVBand="0" w:evenVBand="0" w:oddHBand="0" w:evenHBand="0" w:firstRowFirstColumn="0" w:firstRowLastColumn="0" w:lastRowFirstColumn="0" w:lastRowLastColumn="0"/>
            </w:pPr>
            <w:r>
              <w:t>Gains énergétiques annuels</w:t>
            </w:r>
          </w:p>
        </w:tc>
        <w:tc>
          <w:tcPr>
            <w:tcW w:w="1149" w:type="dxa"/>
            <w:shd w:val="clear" w:color="auto" w:fill="E7E6E6" w:themeFill="background2"/>
          </w:tcPr>
          <w:p w14:paraId="521A388C" w14:textId="77777777" w:rsidR="00BA4292" w:rsidRDefault="00BA4292" w:rsidP="00BA4292">
            <w:pPr>
              <w:jc w:val="center"/>
              <w:cnfStyle w:val="100000000000" w:firstRow="1" w:lastRow="0" w:firstColumn="0" w:lastColumn="0" w:oddVBand="0" w:evenVBand="0" w:oddHBand="0" w:evenHBand="0" w:firstRowFirstColumn="0" w:firstRowLastColumn="0" w:lastRowFirstColumn="0" w:lastRowLastColumn="0"/>
            </w:pPr>
            <w:r>
              <w:t>Indicateur d’impact</w:t>
            </w:r>
          </w:p>
        </w:tc>
        <w:tc>
          <w:tcPr>
            <w:tcW w:w="3818" w:type="dxa"/>
            <w:shd w:val="clear" w:color="auto" w:fill="E7E6E6" w:themeFill="background2"/>
          </w:tcPr>
          <w:p w14:paraId="52F82F78" w14:textId="77777777" w:rsidR="00BA4292" w:rsidRDefault="00BA4292" w:rsidP="00BA4292">
            <w:pPr>
              <w:jc w:val="center"/>
              <w:cnfStyle w:val="100000000000" w:firstRow="1" w:lastRow="0" w:firstColumn="0" w:lastColumn="0" w:oddVBand="0" w:evenVBand="0" w:oddHBand="0" w:evenHBand="0" w:firstRowFirstColumn="0" w:firstRowLastColumn="0" w:lastRowFirstColumn="0" w:lastRowLastColumn="0"/>
            </w:pPr>
            <w:r>
              <w:t>Commentaires</w:t>
            </w:r>
          </w:p>
        </w:tc>
      </w:tr>
      <w:tr w:rsidR="00BA4292" w14:paraId="7FA60554"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7C6A1A5E" w14:textId="77777777" w:rsidR="00BA4292" w:rsidRPr="007E7992" w:rsidRDefault="00F67558" w:rsidP="00F67558">
            <w:pPr>
              <w:rPr>
                <w:b w:val="0"/>
              </w:rPr>
            </w:pPr>
            <w:r w:rsidRPr="007E7992">
              <w:rPr>
                <w:b w:val="0"/>
              </w:rPr>
              <w:t xml:space="preserve">M0. </w:t>
            </w:r>
            <w:r w:rsidR="00047ED7">
              <w:rPr>
                <w:b w:val="0"/>
              </w:rPr>
              <w:t xml:space="preserve">    </w:t>
            </w:r>
            <w:r w:rsidRPr="007E7992">
              <w:rPr>
                <w:b w:val="0"/>
              </w:rPr>
              <w:t xml:space="preserve">Suivi </w:t>
            </w:r>
            <w:proofErr w:type="spellStart"/>
            <w:r w:rsidRPr="007E7992">
              <w:rPr>
                <w:b w:val="0"/>
              </w:rPr>
              <w:t>chron</w:t>
            </w:r>
            <w:proofErr w:type="spellEnd"/>
            <w:r w:rsidRPr="007E7992">
              <w:rPr>
                <w:b w:val="0"/>
              </w:rPr>
              <w:t xml:space="preserve">. </w:t>
            </w:r>
            <w:proofErr w:type="spellStart"/>
            <w:r w:rsidRPr="007E7992">
              <w:rPr>
                <w:b w:val="0"/>
              </w:rPr>
              <w:t>FdR</w:t>
            </w:r>
            <w:proofErr w:type="spellEnd"/>
          </w:p>
        </w:tc>
        <w:tc>
          <w:tcPr>
            <w:tcW w:w="1982" w:type="dxa"/>
          </w:tcPr>
          <w:p w14:paraId="0D828A9A" w14:textId="77777777" w:rsidR="00BA4292" w:rsidRDefault="00F67558" w:rsidP="00BA4292">
            <w:pPr>
              <w:jc w:val="center"/>
              <w:cnfStyle w:val="000000100000" w:firstRow="0" w:lastRow="0" w:firstColumn="0" w:lastColumn="0" w:oddVBand="0" w:evenVBand="0" w:oddHBand="1" w:evenHBand="0" w:firstRowFirstColumn="0" w:firstRowLastColumn="0" w:lastRowFirstColumn="0" w:lastRowLastColumn="0"/>
            </w:pPr>
            <w:r>
              <w:t xml:space="preserve">/ </w:t>
            </w:r>
          </w:p>
        </w:tc>
        <w:tc>
          <w:tcPr>
            <w:tcW w:w="1149" w:type="dxa"/>
          </w:tcPr>
          <w:p w14:paraId="640BF28F" w14:textId="77777777" w:rsidR="00BA4292" w:rsidRDefault="00C376E0" w:rsidP="00BA4292">
            <w:pPr>
              <w:jc w:val="center"/>
              <w:cnfStyle w:val="000000100000" w:firstRow="0" w:lastRow="0" w:firstColumn="0" w:lastColumn="0" w:oddVBand="0" w:evenVBand="0" w:oddHBand="1" w:evenHBand="0" w:firstRowFirstColumn="0" w:firstRowLastColumn="0" w:lastRowFirstColumn="0" w:lastRowLastColumn="0"/>
            </w:pPr>
            <w:r>
              <w:t>/</w:t>
            </w:r>
          </w:p>
        </w:tc>
        <w:tc>
          <w:tcPr>
            <w:tcW w:w="3818" w:type="dxa"/>
          </w:tcPr>
          <w:p w14:paraId="39655621" w14:textId="77777777" w:rsidR="00BA4292" w:rsidRDefault="00CD0330" w:rsidP="00BA4292">
            <w:pPr>
              <w:jc w:val="center"/>
              <w:cnfStyle w:val="000000100000" w:firstRow="0" w:lastRow="0" w:firstColumn="0" w:lastColumn="0" w:oddVBand="0" w:evenVBand="0" w:oddHBand="1" w:evenHBand="0" w:firstRowFirstColumn="0" w:firstRowLastColumn="0" w:lastRowFirstColumn="0" w:lastRowLastColumn="0"/>
            </w:pPr>
            <w:r>
              <w:t>/</w:t>
            </w:r>
          </w:p>
        </w:tc>
      </w:tr>
      <w:tr w:rsidR="00BA4292" w14:paraId="0A03B04B"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1F276373" w14:textId="77777777" w:rsidR="00BA4292" w:rsidRPr="007E7992" w:rsidRDefault="00F67558" w:rsidP="00F67558">
            <w:pPr>
              <w:rPr>
                <w:b w:val="0"/>
              </w:rPr>
            </w:pPr>
            <w:r w:rsidRPr="007E7992">
              <w:rPr>
                <w:b w:val="0"/>
              </w:rPr>
              <w:t xml:space="preserve">M1. </w:t>
            </w:r>
            <w:r w:rsidR="00047ED7">
              <w:rPr>
                <w:b w:val="0"/>
              </w:rPr>
              <w:t xml:space="preserve">    </w:t>
            </w:r>
            <w:r w:rsidRPr="007E7992">
              <w:rPr>
                <w:b w:val="0"/>
              </w:rPr>
              <w:t xml:space="preserve">Compta </w:t>
            </w:r>
            <w:proofErr w:type="spellStart"/>
            <w:r w:rsidRPr="007E7992">
              <w:rPr>
                <w:b w:val="0"/>
              </w:rPr>
              <w:t>én</w:t>
            </w:r>
            <w:proofErr w:type="spellEnd"/>
            <w:r w:rsidRPr="007E7992">
              <w:rPr>
                <w:b w:val="0"/>
              </w:rPr>
              <w:t>.</w:t>
            </w:r>
          </w:p>
        </w:tc>
        <w:tc>
          <w:tcPr>
            <w:tcW w:w="1982" w:type="dxa"/>
          </w:tcPr>
          <w:p w14:paraId="451EF709" w14:textId="77777777" w:rsidR="00BA4292" w:rsidRDefault="00F67558" w:rsidP="00BA4292">
            <w:pPr>
              <w:jc w:val="center"/>
              <w:cnfStyle w:val="000000000000" w:firstRow="0" w:lastRow="0" w:firstColumn="0" w:lastColumn="0" w:oddVBand="0" w:evenVBand="0" w:oddHBand="0" w:evenHBand="0" w:firstRowFirstColumn="0" w:firstRowLastColumn="0" w:lastRowFirstColumn="0" w:lastRowLastColumn="0"/>
            </w:pPr>
            <w:r>
              <w:t>(mesure d’appui)</w:t>
            </w:r>
          </w:p>
        </w:tc>
        <w:tc>
          <w:tcPr>
            <w:tcW w:w="1149" w:type="dxa"/>
          </w:tcPr>
          <w:p w14:paraId="4FF80051" w14:textId="77777777" w:rsidR="00BA4292" w:rsidRPr="007444D6" w:rsidRDefault="00F502B1" w:rsidP="00BA4292">
            <w:pPr>
              <w:jc w:val="center"/>
              <w:cnfStyle w:val="000000000000" w:firstRow="0" w:lastRow="0" w:firstColumn="0" w:lastColumn="0" w:oddVBand="0" w:evenVBand="0" w:oddHBand="0" w:evenHBand="0" w:firstRowFirstColumn="0" w:firstRowLastColumn="0" w:lastRowFirstColumn="0" w:lastRowLastColumn="0"/>
              <w:rPr>
                <w:color w:val="00B050"/>
              </w:rPr>
            </w:pPr>
            <w:r w:rsidRPr="007444D6">
              <w:rPr>
                <w:color w:val="00B050"/>
              </w:rPr>
              <w:t>3</w:t>
            </w:r>
          </w:p>
        </w:tc>
        <w:tc>
          <w:tcPr>
            <w:tcW w:w="3818" w:type="dxa"/>
          </w:tcPr>
          <w:p w14:paraId="7830FA6A" w14:textId="77777777" w:rsidR="00BA4292" w:rsidRDefault="00CD0330" w:rsidP="00BA4292">
            <w:pPr>
              <w:jc w:val="center"/>
              <w:cnfStyle w:val="000000000000" w:firstRow="0" w:lastRow="0" w:firstColumn="0" w:lastColumn="0" w:oddVBand="0" w:evenVBand="0" w:oddHBand="0" w:evenHBand="0" w:firstRowFirstColumn="0" w:firstRowLastColumn="0" w:lastRowFirstColumn="0" w:lastRowLastColumn="0"/>
            </w:pPr>
            <w:r>
              <w:t>/</w:t>
            </w:r>
          </w:p>
        </w:tc>
      </w:tr>
      <w:tr w:rsidR="00BA4292" w14:paraId="35A27E05"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4A8EE36B" w14:textId="77777777" w:rsidR="00BA4292" w:rsidRPr="007E7992" w:rsidRDefault="00F67558" w:rsidP="00F67558">
            <w:pPr>
              <w:rPr>
                <w:b w:val="0"/>
              </w:rPr>
            </w:pPr>
            <w:r w:rsidRPr="007E7992">
              <w:rPr>
                <w:b w:val="0"/>
              </w:rPr>
              <w:t xml:space="preserve">M2. </w:t>
            </w:r>
            <w:r w:rsidR="00047ED7">
              <w:rPr>
                <w:b w:val="0"/>
              </w:rPr>
              <w:t xml:space="preserve">    </w:t>
            </w:r>
            <w:proofErr w:type="spellStart"/>
            <w:r w:rsidRPr="007E7992">
              <w:rPr>
                <w:b w:val="0"/>
              </w:rPr>
              <w:t>Inst</w:t>
            </w:r>
            <w:proofErr w:type="spellEnd"/>
            <w:r w:rsidRPr="007E7992">
              <w:rPr>
                <w:b w:val="0"/>
              </w:rPr>
              <w:t>. compteurs</w:t>
            </w:r>
          </w:p>
        </w:tc>
        <w:tc>
          <w:tcPr>
            <w:tcW w:w="1982" w:type="dxa"/>
          </w:tcPr>
          <w:p w14:paraId="66B76639" w14:textId="77777777" w:rsidR="00BA4292" w:rsidRDefault="00F67558" w:rsidP="00BA4292">
            <w:pPr>
              <w:jc w:val="center"/>
              <w:cnfStyle w:val="000000100000" w:firstRow="0" w:lastRow="0" w:firstColumn="0" w:lastColumn="0" w:oddVBand="0" w:evenVBand="0" w:oddHBand="1" w:evenHBand="0" w:firstRowFirstColumn="0" w:firstRowLastColumn="0" w:lastRowFirstColumn="0" w:lastRowLastColumn="0"/>
            </w:pPr>
            <w:r>
              <w:t>(mesure d’appui)</w:t>
            </w:r>
          </w:p>
        </w:tc>
        <w:tc>
          <w:tcPr>
            <w:tcW w:w="1149" w:type="dxa"/>
          </w:tcPr>
          <w:p w14:paraId="24D97732" w14:textId="77777777" w:rsidR="00BA4292" w:rsidRPr="007444D6" w:rsidRDefault="00F502B1" w:rsidP="00BA4292">
            <w:pPr>
              <w:jc w:val="center"/>
              <w:cnfStyle w:val="000000100000" w:firstRow="0" w:lastRow="0" w:firstColumn="0" w:lastColumn="0" w:oddVBand="0" w:evenVBand="0" w:oddHBand="1" w:evenHBand="0" w:firstRowFirstColumn="0" w:firstRowLastColumn="0" w:lastRowFirstColumn="0" w:lastRowLastColumn="0"/>
              <w:rPr>
                <w:color w:val="00B050"/>
              </w:rPr>
            </w:pPr>
            <w:r w:rsidRPr="007444D6">
              <w:rPr>
                <w:color w:val="00B050"/>
              </w:rPr>
              <w:t>3</w:t>
            </w:r>
          </w:p>
        </w:tc>
        <w:tc>
          <w:tcPr>
            <w:tcW w:w="3818" w:type="dxa"/>
          </w:tcPr>
          <w:p w14:paraId="45BE6E83" w14:textId="77777777" w:rsidR="00BA4292" w:rsidRDefault="00CD0330" w:rsidP="00BA4292">
            <w:pPr>
              <w:jc w:val="center"/>
              <w:cnfStyle w:val="000000100000" w:firstRow="0" w:lastRow="0" w:firstColumn="0" w:lastColumn="0" w:oddVBand="0" w:evenVBand="0" w:oddHBand="1" w:evenHBand="0" w:firstRowFirstColumn="0" w:firstRowLastColumn="0" w:lastRowFirstColumn="0" w:lastRowLastColumn="0"/>
            </w:pPr>
            <w:r>
              <w:t>/</w:t>
            </w:r>
          </w:p>
        </w:tc>
      </w:tr>
      <w:tr w:rsidR="00BA4292" w14:paraId="59EBA81F"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35C944E8" w14:textId="77777777" w:rsidR="00BA4292" w:rsidRPr="007E7992" w:rsidRDefault="00F67558" w:rsidP="00F67558">
            <w:pPr>
              <w:rPr>
                <w:b w:val="0"/>
              </w:rPr>
            </w:pPr>
            <w:r w:rsidRPr="007E7992">
              <w:rPr>
                <w:b w:val="0"/>
              </w:rPr>
              <w:t xml:space="preserve">M3. </w:t>
            </w:r>
            <w:r w:rsidR="00047ED7">
              <w:rPr>
                <w:b w:val="0"/>
              </w:rPr>
              <w:t xml:space="preserve">    </w:t>
            </w:r>
            <w:r w:rsidRPr="007E7992">
              <w:rPr>
                <w:b w:val="0"/>
              </w:rPr>
              <w:t>Isolation toits</w:t>
            </w:r>
          </w:p>
        </w:tc>
        <w:tc>
          <w:tcPr>
            <w:tcW w:w="1982" w:type="dxa"/>
          </w:tcPr>
          <w:p w14:paraId="05654FE0" w14:textId="77777777" w:rsidR="00BA4292" w:rsidRDefault="00F67558" w:rsidP="00BA4292">
            <w:pPr>
              <w:jc w:val="center"/>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350 000 kWh</w:t>
            </w:r>
          </w:p>
        </w:tc>
        <w:tc>
          <w:tcPr>
            <w:tcW w:w="1149" w:type="dxa"/>
          </w:tcPr>
          <w:p w14:paraId="1AB604D1" w14:textId="77777777" w:rsidR="00BA4292" w:rsidRDefault="00A85979" w:rsidP="00BA4292">
            <w:pPr>
              <w:jc w:val="center"/>
              <w:cnfStyle w:val="000000000000" w:firstRow="0" w:lastRow="0" w:firstColumn="0" w:lastColumn="0" w:oddVBand="0" w:evenVBand="0" w:oddHBand="0" w:evenHBand="0" w:firstRowFirstColumn="0" w:firstRowLastColumn="0" w:lastRowFirstColumn="0" w:lastRowLastColumn="0"/>
            </w:pPr>
            <w:r>
              <w:t>7</w:t>
            </w:r>
          </w:p>
        </w:tc>
        <w:tc>
          <w:tcPr>
            <w:tcW w:w="3818" w:type="dxa"/>
          </w:tcPr>
          <w:p w14:paraId="53E3817E" w14:textId="77777777" w:rsidR="00BA4292" w:rsidRDefault="00CD0330" w:rsidP="00BA4292">
            <w:pPr>
              <w:jc w:val="center"/>
              <w:cnfStyle w:val="000000000000" w:firstRow="0" w:lastRow="0" w:firstColumn="0" w:lastColumn="0" w:oddVBand="0" w:evenVBand="0" w:oddHBand="0" w:evenHBand="0" w:firstRowFirstColumn="0" w:firstRowLastColumn="0" w:lastRowFirstColumn="0" w:lastRowLastColumn="0"/>
            </w:pPr>
            <w:r>
              <w:t>Voir TFE</w:t>
            </w:r>
          </w:p>
        </w:tc>
      </w:tr>
      <w:tr w:rsidR="0002627B" w14:paraId="42F483EE"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409D95F0" w14:textId="77777777" w:rsidR="0002627B" w:rsidRPr="004C6850" w:rsidRDefault="004C6850" w:rsidP="00F67558">
            <w:pPr>
              <w:rPr>
                <w:b w:val="0"/>
              </w:rPr>
            </w:pPr>
            <w:r w:rsidRPr="004C6850">
              <w:rPr>
                <w:b w:val="0"/>
              </w:rPr>
              <w:t>M3b.</w:t>
            </w:r>
            <w:r>
              <w:rPr>
                <w:b w:val="0"/>
              </w:rPr>
              <w:t xml:space="preserve">   Impact env. toits</w:t>
            </w:r>
          </w:p>
        </w:tc>
        <w:tc>
          <w:tcPr>
            <w:tcW w:w="1982" w:type="dxa"/>
          </w:tcPr>
          <w:p w14:paraId="788DE882" w14:textId="77777777" w:rsidR="0002627B" w:rsidRDefault="009331AF" w:rsidP="00BA429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149" w:type="dxa"/>
          </w:tcPr>
          <w:p w14:paraId="771DB8A3" w14:textId="77777777" w:rsidR="0002627B" w:rsidRDefault="0002627B" w:rsidP="00BA4292">
            <w:pPr>
              <w:jc w:val="center"/>
              <w:cnfStyle w:val="000000100000" w:firstRow="0" w:lastRow="0" w:firstColumn="0" w:lastColumn="0" w:oddVBand="0" w:evenVBand="0" w:oddHBand="1" w:evenHBand="0" w:firstRowFirstColumn="0" w:firstRowLastColumn="0" w:lastRowFirstColumn="0" w:lastRowLastColumn="0"/>
            </w:pPr>
            <w:r>
              <w:t>4</w:t>
            </w:r>
          </w:p>
        </w:tc>
        <w:tc>
          <w:tcPr>
            <w:tcW w:w="3818" w:type="dxa"/>
          </w:tcPr>
          <w:p w14:paraId="4A413755" w14:textId="77777777" w:rsidR="0002627B" w:rsidRDefault="00965876" w:rsidP="00BA4292">
            <w:pPr>
              <w:jc w:val="center"/>
              <w:cnfStyle w:val="000000100000" w:firstRow="0" w:lastRow="0" w:firstColumn="0" w:lastColumn="0" w:oddVBand="0" w:evenVBand="0" w:oddHBand="1" w:evenHBand="0" w:firstRowFirstColumn="0" w:firstRowLastColumn="0" w:lastRowFirstColumn="0" w:lastRowLastColumn="0"/>
            </w:pPr>
            <w:r>
              <w:t>Voir tableau ci-dessus</w:t>
            </w:r>
          </w:p>
        </w:tc>
      </w:tr>
      <w:tr w:rsidR="00BA4292" w14:paraId="2E59E591"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39762950" w14:textId="77777777" w:rsidR="00BA4292" w:rsidRPr="004C6850" w:rsidRDefault="00F67558" w:rsidP="00F67558">
            <w:pPr>
              <w:rPr>
                <w:b w:val="0"/>
              </w:rPr>
            </w:pPr>
            <w:r w:rsidRPr="004C6850">
              <w:rPr>
                <w:b w:val="0"/>
              </w:rPr>
              <w:t xml:space="preserve">M4. </w:t>
            </w:r>
            <w:r w:rsidR="00047ED7" w:rsidRPr="004C6850">
              <w:rPr>
                <w:b w:val="0"/>
              </w:rPr>
              <w:t xml:space="preserve">    </w:t>
            </w:r>
            <w:r w:rsidRPr="004C6850">
              <w:rPr>
                <w:b w:val="0"/>
              </w:rPr>
              <w:t>Châssis et fenêtres</w:t>
            </w:r>
          </w:p>
        </w:tc>
        <w:tc>
          <w:tcPr>
            <w:tcW w:w="1982" w:type="dxa"/>
          </w:tcPr>
          <w:p w14:paraId="051BB277" w14:textId="77777777" w:rsidR="00BA4292" w:rsidRDefault="007609B4" w:rsidP="00BA4292">
            <w:pPr>
              <w:jc w:val="center"/>
              <w:cnfStyle w:val="000000000000" w:firstRow="0" w:lastRow="0" w:firstColumn="0" w:lastColumn="0" w:oddVBand="0" w:evenVBand="0" w:oddHBand="0" w:evenHBand="0" w:firstRowFirstColumn="0" w:firstRowLastColumn="0" w:lastRowFirstColumn="0" w:lastRowLastColumn="0"/>
            </w:pPr>
            <w:r>
              <w:rPr>
                <w:rFonts w:cstheme="minorHAnsi"/>
              </w:rPr>
              <w:t>± 11</w:t>
            </w:r>
            <w:r w:rsidR="00F67558">
              <w:rPr>
                <w:rFonts w:cstheme="minorHAnsi"/>
              </w:rPr>
              <w:t>0 000 kWh</w:t>
            </w:r>
          </w:p>
        </w:tc>
        <w:tc>
          <w:tcPr>
            <w:tcW w:w="1149" w:type="dxa"/>
          </w:tcPr>
          <w:p w14:paraId="129A2EE3" w14:textId="77777777" w:rsidR="00BA4292" w:rsidRDefault="0002627B" w:rsidP="00BA4292">
            <w:pPr>
              <w:jc w:val="center"/>
              <w:cnfStyle w:val="000000000000" w:firstRow="0" w:lastRow="0" w:firstColumn="0" w:lastColumn="0" w:oddVBand="0" w:evenVBand="0" w:oddHBand="0" w:evenHBand="0" w:firstRowFirstColumn="0" w:firstRowLastColumn="0" w:lastRowFirstColumn="0" w:lastRowLastColumn="0"/>
            </w:pPr>
            <w:r>
              <w:t>4</w:t>
            </w:r>
          </w:p>
        </w:tc>
        <w:tc>
          <w:tcPr>
            <w:tcW w:w="3818" w:type="dxa"/>
          </w:tcPr>
          <w:p w14:paraId="40058206" w14:textId="77777777" w:rsidR="00BA4292" w:rsidRDefault="00A2183B" w:rsidP="00BA4292">
            <w:pPr>
              <w:jc w:val="center"/>
              <w:cnfStyle w:val="000000000000" w:firstRow="0" w:lastRow="0" w:firstColumn="0" w:lastColumn="0" w:oddVBand="0" w:evenVBand="0" w:oddHBand="0" w:evenHBand="0" w:firstRowFirstColumn="0" w:firstRowLastColumn="0" w:lastRowFirstColumn="0" w:lastRowLastColumn="0"/>
            </w:pPr>
            <w:r>
              <w:t>Voir ci-dessous</w:t>
            </w:r>
          </w:p>
        </w:tc>
      </w:tr>
      <w:tr w:rsidR="0002627B" w14:paraId="599CBE2D"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49C8A6CB" w14:textId="77777777" w:rsidR="0002627B" w:rsidRPr="004C6850" w:rsidRDefault="004C6850" w:rsidP="00F67558">
            <w:pPr>
              <w:rPr>
                <w:b w:val="0"/>
              </w:rPr>
            </w:pPr>
            <w:r w:rsidRPr="004C6850">
              <w:rPr>
                <w:b w:val="0"/>
              </w:rPr>
              <w:t>M4b.</w:t>
            </w:r>
            <w:r>
              <w:rPr>
                <w:b w:val="0"/>
              </w:rPr>
              <w:t xml:space="preserve">   Impact env. fenêtres</w:t>
            </w:r>
          </w:p>
        </w:tc>
        <w:tc>
          <w:tcPr>
            <w:tcW w:w="1982" w:type="dxa"/>
          </w:tcPr>
          <w:p w14:paraId="31B39FA6" w14:textId="77777777" w:rsidR="0002627B" w:rsidRDefault="009331AF" w:rsidP="00BA429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149" w:type="dxa"/>
          </w:tcPr>
          <w:p w14:paraId="53007E57" w14:textId="77777777" w:rsidR="0002627B" w:rsidRDefault="0002627B" w:rsidP="00BA4292">
            <w:pPr>
              <w:jc w:val="center"/>
              <w:cnfStyle w:val="000000100000" w:firstRow="0" w:lastRow="0" w:firstColumn="0" w:lastColumn="0" w:oddVBand="0" w:evenVBand="0" w:oddHBand="1" w:evenHBand="0" w:firstRowFirstColumn="0" w:firstRowLastColumn="0" w:lastRowFirstColumn="0" w:lastRowLastColumn="0"/>
            </w:pPr>
            <w:r>
              <w:t>2</w:t>
            </w:r>
          </w:p>
        </w:tc>
        <w:tc>
          <w:tcPr>
            <w:tcW w:w="3818" w:type="dxa"/>
          </w:tcPr>
          <w:p w14:paraId="54FBC40B" w14:textId="77777777" w:rsidR="0002627B" w:rsidRDefault="00965876" w:rsidP="00BA4292">
            <w:pPr>
              <w:jc w:val="center"/>
              <w:cnfStyle w:val="000000100000" w:firstRow="0" w:lastRow="0" w:firstColumn="0" w:lastColumn="0" w:oddVBand="0" w:evenVBand="0" w:oddHBand="1" w:evenHBand="0" w:firstRowFirstColumn="0" w:firstRowLastColumn="0" w:lastRowFirstColumn="0" w:lastRowLastColumn="0"/>
            </w:pPr>
            <w:r>
              <w:t>Voir tableau ci-dessus</w:t>
            </w:r>
          </w:p>
        </w:tc>
      </w:tr>
      <w:tr w:rsidR="00BA4292" w14:paraId="6E5A1519"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6D389891" w14:textId="77777777" w:rsidR="00BA4292" w:rsidRPr="004C6850" w:rsidRDefault="00F67558" w:rsidP="00F67558">
            <w:pPr>
              <w:rPr>
                <w:b w:val="0"/>
              </w:rPr>
            </w:pPr>
            <w:r w:rsidRPr="004C6850">
              <w:rPr>
                <w:b w:val="0"/>
              </w:rPr>
              <w:t xml:space="preserve">M5. </w:t>
            </w:r>
            <w:r w:rsidR="00047ED7" w:rsidRPr="004C6850">
              <w:rPr>
                <w:b w:val="0"/>
              </w:rPr>
              <w:t xml:space="preserve">    </w:t>
            </w:r>
            <w:r w:rsidRPr="004C6850">
              <w:rPr>
                <w:b w:val="0"/>
              </w:rPr>
              <w:t>Isolation murs</w:t>
            </w:r>
          </w:p>
        </w:tc>
        <w:tc>
          <w:tcPr>
            <w:tcW w:w="1982" w:type="dxa"/>
          </w:tcPr>
          <w:p w14:paraId="2F41D2CF" w14:textId="77777777" w:rsidR="00BA4292" w:rsidRDefault="007609B4" w:rsidP="00BA4292">
            <w:pPr>
              <w:jc w:val="center"/>
              <w:cnfStyle w:val="000000000000" w:firstRow="0" w:lastRow="0" w:firstColumn="0" w:lastColumn="0" w:oddVBand="0" w:evenVBand="0" w:oddHBand="0" w:evenHBand="0" w:firstRowFirstColumn="0" w:firstRowLastColumn="0" w:lastRowFirstColumn="0" w:lastRowLastColumn="0"/>
            </w:pPr>
            <w:r>
              <w:rPr>
                <w:rFonts w:cstheme="minorHAnsi"/>
              </w:rPr>
              <w:t>± 28</w:t>
            </w:r>
            <w:r w:rsidR="00F67558">
              <w:rPr>
                <w:rFonts w:cstheme="minorHAnsi"/>
              </w:rPr>
              <w:t>0 000 kWh</w:t>
            </w:r>
          </w:p>
        </w:tc>
        <w:tc>
          <w:tcPr>
            <w:tcW w:w="1149" w:type="dxa"/>
          </w:tcPr>
          <w:p w14:paraId="0B412AD7" w14:textId="77777777" w:rsidR="00BA4292" w:rsidRDefault="0002627B" w:rsidP="00BA4292">
            <w:pPr>
              <w:jc w:val="center"/>
              <w:cnfStyle w:val="000000000000" w:firstRow="0" w:lastRow="0" w:firstColumn="0" w:lastColumn="0" w:oddVBand="0" w:evenVBand="0" w:oddHBand="0" w:evenHBand="0" w:firstRowFirstColumn="0" w:firstRowLastColumn="0" w:lastRowFirstColumn="0" w:lastRowLastColumn="0"/>
            </w:pPr>
            <w:r>
              <w:t>6</w:t>
            </w:r>
          </w:p>
        </w:tc>
        <w:tc>
          <w:tcPr>
            <w:tcW w:w="3818" w:type="dxa"/>
          </w:tcPr>
          <w:p w14:paraId="5E153333" w14:textId="77777777" w:rsidR="00BA4292" w:rsidRDefault="00A2183B" w:rsidP="00BA4292">
            <w:pPr>
              <w:jc w:val="center"/>
              <w:cnfStyle w:val="000000000000" w:firstRow="0" w:lastRow="0" w:firstColumn="0" w:lastColumn="0" w:oddVBand="0" w:evenVBand="0" w:oddHBand="0" w:evenHBand="0" w:firstRowFirstColumn="0" w:firstRowLastColumn="0" w:lastRowFirstColumn="0" w:lastRowLastColumn="0"/>
            </w:pPr>
            <w:r>
              <w:t>Voir ci-dessous</w:t>
            </w:r>
          </w:p>
        </w:tc>
      </w:tr>
      <w:tr w:rsidR="0002627B" w14:paraId="0A6AD762"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10E85DAA" w14:textId="77777777" w:rsidR="0002627B" w:rsidRPr="004C6850" w:rsidRDefault="004C6850" w:rsidP="00F67558">
            <w:pPr>
              <w:rPr>
                <w:b w:val="0"/>
              </w:rPr>
            </w:pPr>
            <w:r w:rsidRPr="004C6850">
              <w:rPr>
                <w:b w:val="0"/>
              </w:rPr>
              <w:t>M5b.</w:t>
            </w:r>
            <w:r>
              <w:rPr>
                <w:b w:val="0"/>
              </w:rPr>
              <w:t xml:space="preserve">   Impact env. murs</w:t>
            </w:r>
          </w:p>
        </w:tc>
        <w:tc>
          <w:tcPr>
            <w:tcW w:w="1982" w:type="dxa"/>
          </w:tcPr>
          <w:p w14:paraId="3D5E06B8" w14:textId="77777777" w:rsidR="0002627B" w:rsidRDefault="009331AF" w:rsidP="00BA429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149" w:type="dxa"/>
          </w:tcPr>
          <w:p w14:paraId="5B349104" w14:textId="77777777" w:rsidR="0002627B" w:rsidRDefault="0002627B" w:rsidP="00BA4292">
            <w:pPr>
              <w:jc w:val="center"/>
              <w:cnfStyle w:val="000000100000" w:firstRow="0" w:lastRow="0" w:firstColumn="0" w:lastColumn="0" w:oddVBand="0" w:evenVBand="0" w:oddHBand="1" w:evenHBand="0" w:firstRowFirstColumn="0" w:firstRowLastColumn="0" w:lastRowFirstColumn="0" w:lastRowLastColumn="0"/>
            </w:pPr>
            <w:r>
              <w:t>4</w:t>
            </w:r>
          </w:p>
        </w:tc>
        <w:tc>
          <w:tcPr>
            <w:tcW w:w="3818" w:type="dxa"/>
          </w:tcPr>
          <w:p w14:paraId="0AAC2DEF" w14:textId="77777777" w:rsidR="0002627B" w:rsidRDefault="00965876" w:rsidP="00BA4292">
            <w:pPr>
              <w:jc w:val="center"/>
              <w:cnfStyle w:val="000000100000" w:firstRow="0" w:lastRow="0" w:firstColumn="0" w:lastColumn="0" w:oddVBand="0" w:evenVBand="0" w:oddHBand="1" w:evenHBand="0" w:firstRowFirstColumn="0" w:firstRowLastColumn="0" w:lastRowFirstColumn="0" w:lastRowLastColumn="0"/>
            </w:pPr>
            <w:r>
              <w:t>Voir tableau ci-dessus</w:t>
            </w:r>
          </w:p>
        </w:tc>
      </w:tr>
      <w:tr w:rsidR="00BA4292" w14:paraId="1C999B8E"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3FD58EDD" w14:textId="77777777" w:rsidR="00BA4292" w:rsidRPr="007E7992" w:rsidRDefault="00F67558" w:rsidP="00F67558">
            <w:pPr>
              <w:rPr>
                <w:b w:val="0"/>
              </w:rPr>
            </w:pPr>
            <w:r w:rsidRPr="007E7992">
              <w:rPr>
                <w:b w:val="0"/>
              </w:rPr>
              <w:t xml:space="preserve">M6. </w:t>
            </w:r>
            <w:r w:rsidR="00047ED7">
              <w:rPr>
                <w:b w:val="0"/>
              </w:rPr>
              <w:t xml:space="preserve">    </w:t>
            </w:r>
            <w:r w:rsidRPr="007E7992">
              <w:rPr>
                <w:b w:val="0"/>
              </w:rPr>
              <w:t>Isolation sols</w:t>
            </w:r>
          </w:p>
        </w:tc>
        <w:tc>
          <w:tcPr>
            <w:tcW w:w="1982" w:type="dxa"/>
          </w:tcPr>
          <w:p w14:paraId="7ED679F7" w14:textId="77777777" w:rsidR="00BA4292" w:rsidRDefault="00F67558" w:rsidP="00BA4292">
            <w:pPr>
              <w:jc w:val="center"/>
              <w:cnfStyle w:val="000000000000" w:firstRow="0" w:lastRow="0" w:firstColumn="0" w:lastColumn="0" w:oddVBand="0" w:evenVBand="0" w:oddHBand="0" w:evenHBand="0" w:firstRowFirstColumn="0" w:firstRowLastColumn="0" w:lastRowFirstColumn="0" w:lastRowLastColumn="0"/>
            </w:pPr>
            <w:r>
              <w:rPr>
                <w:rFonts w:cstheme="minorHAnsi"/>
              </w:rPr>
              <w:t>± 150 000 kWh</w:t>
            </w:r>
          </w:p>
        </w:tc>
        <w:tc>
          <w:tcPr>
            <w:tcW w:w="1149" w:type="dxa"/>
          </w:tcPr>
          <w:p w14:paraId="0511F617" w14:textId="77777777" w:rsidR="00BA4292" w:rsidRDefault="00A85979" w:rsidP="00BA4292">
            <w:pPr>
              <w:jc w:val="center"/>
              <w:cnfStyle w:val="000000000000" w:firstRow="0" w:lastRow="0" w:firstColumn="0" w:lastColumn="0" w:oddVBand="0" w:evenVBand="0" w:oddHBand="0" w:evenHBand="0" w:firstRowFirstColumn="0" w:firstRowLastColumn="0" w:lastRowFirstColumn="0" w:lastRowLastColumn="0"/>
            </w:pPr>
            <w:r>
              <w:t>5</w:t>
            </w:r>
          </w:p>
        </w:tc>
        <w:tc>
          <w:tcPr>
            <w:tcW w:w="3818" w:type="dxa"/>
          </w:tcPr>
          <w:p w14:paraId="1D1A7F7D" w14:textId="77777777" w:rsidR="00BA4292" w:rsidRDefault="00CD0330" w:rsidP="00BA4292">
            <w:pPr>
              <w:jc w:val="center"/>
              <w:cnfStyle w:val="000000000000" w:firstRow="0" w:lastRow="0" w:firstColumn="0" w:lastColumn="0" w:oddVBand="0" w:evenVBand="0" w:oddHBand="0" w:evenHBand="0" w:firstRowFirstColumn="0" w:firstRowLastColumn="0" w:lastRowFirstColumn="0" w:lastRowLastColumn="0"/>
            </w:pPr>
            <w:r>
              <w:t>Voir TFE</w:t>
            </w:r>
          </w:p>
        </w:tc>
      </w:tr>
      <w:tr w:rsidR="0002627B" w14:paraId="657C6F16"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4BF15274" w14:textId="77777777" w:rsidR="0002627B" w:rsidRPr="004C6850" w:rsidRDefault="004C6850" w:rsidP="00F67558">
            <w:pPr>
              <w:rPr>
                <w:b w:val="0"/>
              </w:rPr>
            </w:pPr>
            <w:r w:rsidRPr="004C6850">
              <w:rPr>
                <w:b w:val="0"/>
              </w:rPr>
              <w:t>M6b.</w:t>
            </w:r>
            <w:r>
              <w:rPr>
                <w:b w:val="0"/>
              </w:rPr>
              <w:t xml:space="preserve">   Impact env. sols</w:t>
            </w:r>
          </w:p>
        </w:tc>
        <w:tc>
          <w:tcPr>
            <w:tcW w:w="1982" w:type="dxa"/>
          </w:tcPr>
          <w:p w14:paraId="03F50B01" w14:textId="77777777" w:rsidR="0002627B" w:rsidRDefault="009331AF" w:rsidP="00BA429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149" w:type="dxa"/>
          </w:tcPr>
          <w:p w14:paraId="6AB3D730" w14:textId="77777777" w:rsidR="0002627B" w:rsidRDefault="0002627B" w:rsidP="00BA4292">
            <w:pPr>
              <w:jc w:val="center"/>
              <w:cnfStyle w:val="000000100000" w:firstRow="0" w:lastRow="0" w:firstColumn="0" w:lastColumn="0" w:oddVBand="0" w:evenVBand="0" w:oddHBand="1" w:evenHBand="0" w:firstRowFirstColumn="0" w:firstRowLastColumn="0" w:lastRowFirstColumn="0" w:lastRowLastColumn="0"/>
            </w:pPr>
            <w:r>
              <w:t>2</w:t>
            </w:r>
          </w:p>
        </w:tc>
        <w:tc>
          <w:tcPr>
            <w:tcW w:w="3818" w:type="dxa"/>
          </w:tcPr>
          <w:p w14:paraId="105344A0" w14:textId="77777777" w:rsidR="0002627B" w:rsidRDefault="00965876" w:rsidP="00BA4292">
            <w:pPr>
              <w:jc w:val="center"/>
              <w:cnfStyle w:val="000000100000" w:firstRow="0" w:lastRow="0" w:firstColumn="0" w:lastColumn="0" w:oddVBand="0" w:evenVBand="0" w:oddHBand="1" w:evenHBand="0" w:firstRowFirstColumn="0" w:firstRowLastColumn="0" w:lastRowFirstColumn="0" w:lastRowLastColumn="0"/>
            </w:pPr>
            <w:r>
              <w:t>Voir tableau ci-dessus</w:t>
            </w:r>
          </w:p>
        </w:tc>
      </w:tr>
      <w:tr w:rsidR="0002627B" w14:paraId="7008DD9F"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71BE8B56" w14:textId="77777777" w:rsidR="0002627B" w:rsidRPr="004C6850" w:rsidRDefault="004C6850" w:rsidP="00F67558">
            <w:pPr>
              <w:rPr>
                <w:b w:val="0"/>
              </w:rPr>
            </w:pPr>
            <w:r w:rsidRPr="004C6850">
              <w:rPr>
                <w:b w:val="0"/>
              </w:rPr>
              <w:t>M7.</w:t>
            </w:r>
            <w:r>
              <w:rPr>
                <w:b w:val="0"/>
              </w:rPr>
              <w:t xml:space="preserve">     Matériaux réemploi</w:t>
            </w:r>
          </w:p>
        </w:tc>
        <w:tc>
          <w:tcPr>
            <w:tcW w:w="1982" w:type="dxa"/>
          </w:tcPr>
          <w:p w14:paraId="35F4551C" w14:textId="77777777" w:rsidR="0002627B" w:rsidRDefault="009331AF" w:rsidP="00BA429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149" w:type="dxa"/>
          </w:tcPr>
          <w:p w14:paraId="7971D82D" w14:textId="77777777" w:rsidR="0002627B" w:rsidRPr="007444D6" w:rsidRDefault="00F502B1" w:rsidP="00BA4292">
            <w:pPr>
              <w:jc w:val="center"/>
              <w:cnfStyle w:val="000000000000" w:firstRow="0" w:lastRow="0" w:firstColumn="0" w:lastColumn="0" w:oddVBand="0" w:evenVBand="0" w:oddHBand="0" w:evenHBand="0" w:firstRowFirstColumn="0" w:firstRowLastColumn="0" w:lastRowFirstColumn="0" w:lastRowLastColumn="0"/>
              <w:rPr>
                <w:color w:val="00B050"/>
              </w:rPr>
            </w:pPr>
            <w:r w:rsidRPr="007444D6">
              <w:rPr>
                <w:color w:val="00B050"/>
              </w:rPr>
              <w:t>3</w:t>
            </w:r>
          </w:p>
        </w:tc>
        <w:tc>
          <w:tcPr>
            <w:tcW w:w="3818" w:type="dxa"/>
          </w:tcPr>
          <w:p w14:paraId="1F7F41B7" w14:textId="77777777" w:rsidR="0002627B" w:rsidRDefault="00922D79" w:rsidP="00BA4292">
            <w:pPr>
              <w:jc w:val="center"/>
              <w:cnfStyle w:val="000000000000" w:firstRow="0" w:lastRow="0" w:firstColumn="0" w:lastColumn="0" w:oddVBand="0" w:evenVBand="0" w:oddHBand="0" w:evenHBand="0" w:firstRowFirstColumn="0" w:firstRowLastColumn="0" w:lastRowFirstColumn="0" w:lastRowLastColumn="0"/>
            </w:pPr>
            <w:r>
              <w:t>/</w:t>
            </w:r>
          </w:p>
        </w:tc>
      </w:tr>
      <w:tr w:rsidR="004C6850" w14:paraId="787F636E"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1F2B1C4B" w14:textId="77777777" w:rsidR="004C6850" w:rsidRPr="004C6850" w:rsidRDefault="004C6850" w:rsidP="00F67558">
            <w:pPr>
              <w:rPr>
                <w:b w:val="0"/>
              </w:rPr>
            </w:pPr>
            <w:r w:rsidRPr="004C6850">
              <w:rPr>
                <w:b w:val="0"/>
              </w:rPr>
              <w:t>M8.</w:t>
            </w:r>
            <w:r>
              <w:rPr>
                <w:b w:val="0"/>
              </w:rPr>
              <w:t xml:space="preserve">     Étude ventilation</w:t>
            </w:r>
          </w:p>
        </w:tc>
        <w:tc>
          <w:tcPr>
            <w:tcW w:w="1982" w:type="dxa"/>
          </w:tcPr>
          <w:p w14:paraId="53E922B7" w14:textId="77777777" w:rsidR="004C6850" w:rsidRDefault="009331AF" w:rsidP="00BA429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149" w:type="dxa"/>
          </w:tcPr>
          <w:p w14:paraId="31E5AC89" w14:textId="77777777" w:rsidR="004C6850" w:rsidRPr="007444D6" w:rsidRDefault="00F502B1" w:rsidP="00BA4292">
            <w:pPr>
              <w:jc w:val="center"/>
              <w:cnfStyle w:val="000000100000" w:firstRow="0" w:lastRow="0" w:firstColumn="0" w:lastColumn="0" w:oddVBand="0" w:evenVBand="0" w:oddHBand="1" w:evenHBand="0" w:firstRowFirstColumn="0" w:firstRowLastColumn="0" w:lastRowFirstColumn="0" w:lastRowLastColumn="0"/>
              <w:rPr>
                <w:color w:val="00B050"/>
              </w:rPr>
            </w:pPr>
            <w:r w:rsidRPr="007444D6">
              <w:rPr>
                <w:color w:val="00B050"/>
              </w:rPr>
              <w:t>2</w:t>
            </w:r>
          </w:p>
        </w:tc>
        <w:tc>
          <w:tcPr>
            <w:tcW w:w="3818" w:type="dxa"/>
          </w:tcPr>
          <w:p w14:paraId="5318C661" w14:textId="77777777" w:rsidR="004C6850" w:rsidRDefault="00922D79" w:rsidP="00BA4292">
            <w:pPr>
              <w:jc w:val="center"/>
              <w:cnfStyle w:val="000000100000" w:firstRow="0" w:lastRow="0" w:firstColumn="0" w:lastColumn="0" w:oddVBand="0" w:evenVBand="0" w:oddHBand="1" w:evenHBand="0" w:firstRowFirstColumn="0" w:firstRowLastColumn="0" w:lastRowFirstColumn="0" w:lastRowLastColumn="0"/>
            </w:pPr>
            <w:r>
              <w:t>/</w:t>
            </w:r>
          </w:p>
        </w:tc>
      </w:tr>
      <w:tr w:rsidR="00F67558" w14:paraId="67870CCD"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4A167E41" w14:textId="77777777" w:rsidR="00F67558" w:rsidRPr="007E7992" w:rsidRDefault="009C0285" w:rsidP="00F67558">
            <w:pPr>
              <w:rPr>
                <w:b w:val="0"/>
              </w:rPr>
            </w:pPr>
            <w:r>
              <w:rPr>
                <w:b w:val="0"/>
              </w:rPr>
              <w:t>M9</w:t>
            </w:r>
            <w:r w:rsidR="0035479A">
              <w:rPr>
                <w:b w:val="0"/>
              </w:rPr>
              <w:t xml:space="preserve">. </w:t>
            </w:r>
            <w:r w:rsidR="00047ED7">
              <w:rPr>
                <w:b w:val="0"/>
              </w:rPr>
              <w:t xml:space="preserve">    </w:t>
            </w:r>
            <w:proofErr w:type="spellStart"/>
            <w:r w:rsidR="0035479A">
              <w:rPr>
                <w:b w:val="0"/>
              </w:rPr>
              <w:t>Inst</w:t>
            </w:r>
            <w:proofErr w:type="spellEnd"/>
            <w:r w:rsidR="0035479A">
              <w:rPr>
                <w:b w:val="0"/>
              </w:rPr>
              <w:t>. ventilation</w:t>
            </w:r>
          </w:p>
        </w:tc>
        <w:tc>
          <w:tcPr>
            <w:tcW w:w="1982" w:type="dxa"/>
          </w:tcPr>
          <w:p w14:paraId="5BF650DD" w14:textId="77777777" w:rsidR="00F67558" w:rsidRDefault="00F67558" w:rsidP="00BA429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50 000 kWh</w:t>
            </w:r>
          </w:p>
        </w:tc>
        <w:tc>
          <w:tcPr>
            <w:tcW w:w="1149" w:type="dxa"/>
          </w:tcPr>
          <w:p w14:paraId="1389128B" w14:textId="77777777" w:rsidR="00F67558" w:rsidRDefault="00A85979" w:rsidP="00BA4292">
            <w:pPr>
              <w:jc w:val="center"/>
              <w:cnfStyle w:val="000000000000" w:firstRow="0" w:lastRow="0" w:firstColumn="0" w:lastColumn="0" w:oddVBand="0" w:evenVBand="0" w:oddHBand="0" w:evenHBand="0" w:firstRowFirstColumn="0" w:firstRowLastColumn="0" w:lastRowFirstColumn="0" w:lastRowLastColumn="0"/>
            </w:pPr>
            <w:r>
              <w:t>3</w:t>
            </w:r>
          </w:p>
        </w:tc>
        <w:tc>
          <w:tcPr>
            <w:tcW w:w="3818" w:type="dxa"/>
          </w:tcPr>
          <w:p w14:paraId="0C991353" w14:textId="77777777" w:rsidR="00F67558" w:rsidRDefault="00CD0330" w:rsidP="00BA4292">
            <w:pPr>
              <w:jc w:val="center"/>
              <w:cnfStyle w:val="000000000000" w:firstRow="0" w:lastRow="0" w:firstColumn="0" w:lastColumn="0" w:oddVBand="0" w:evenVBand="0" w:oddHBand="0" w:evenHBand="0" w:firstRowFirstColumn="0" w:firstRowLastColumn="0" w:lastRowFirstColumn="0" w:lastRowLastColumn="0"/>
            </w:pPr>
            <w:r>
              <w:t>Voir TFE</w:t>
            </w:r>
          </w:p>
        </w:tc>
      </w:tr>
      <w:tr w:rsidR="00F67558" w14:paraId="2F329C58"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4302F069" w14:textId="77777777" w:rsidR="00F67558" w:rsidRPr="007E7992" w:rsidRDefault="009C0285" w:rsidP="00F67558">
            <w:pPr>
              <w:rPr>
                <w:b w:val="0"/>
              </w:rPr>
            </w:pPr>
            <w:r>
              <w:rPr>
                <w:b w:val="0"/>
              </w:rPr>
              <w:t>M10</w:t>
            </w:r>
            <w:r w:rsidR="00F67558" w:rsidRPr="007E7992">
              <w:rPr>
                <w:b w:val="0"/>
              </w:rPr>
              <w:t xml:space="preserve">. </w:t>
            </w:r>
            <w:r w:rsidR="00047ED7">
              <w:rPr>
                <w:b w:val="0"/>
              </w:rPr>
              <w:t xml:space="preserve">  </w:t>
            </w:r>
            <w:r w:rsidR="00F67558" w:rsidRPr="007E7992">
              <w:rPr>
                <w:b w:val="0"/>
              </w:rPr>
              <w:t>URE ventilation</w:t>
            </w:r>
          </w:p>
        </w:tc>
        <w:tc>
          <w:tcPr>
            <w:tcW w:w="1982" w:type="dxa"/>
          </w:tcPr>
          <w:p w14:paraId="62CDC11D" w14:textId="77777777" w:rsidR="00F67558" w:rsidRDefault="00F67558" w:rsidP="00BA429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A9391A">
              <w:rPr>
                <w:rFonts w:cstheme="minorHAnsi"/>
              </w:rPr>
              <w:t>± 1</w:t>
            </w:r>
            <w:r w:rsidR="00CA5E93" w:rsidRPr="00A9391A">
              <w:rPr>
                <w:rFonts w:cstheme="minorHAnsi"/>
              </w:rPr>
              <w:t>0</w:t>
            </w:r>
            <w:r w:rsidRPr="00A9391A">
              <w:rPr>
                <w:rFonts w:cstheme="minorHAnsi"/>
              </w:rPr>
              <w:t xml:space="preserve"> 000 kWh</w:t>
            </w:r>
          </w:p>
        </w:tc>
        <w:tc>
          <w:tcPr>
            <w:tcW w:w="1149" w:type="dxa"/>
          </w:tcPr>
          <w:p w14:paraId="0A764EA1" w14:textId="77777777" w:rsidR="00F67558" w:rsidRDefault="00A85979" w:rsidP="00BA4292">
            <w:pPr>
              <w:jc w:val="center"/>
              <w:cnfStyle w:val="000000100000" w:firstRow="0" w:lastRow="0" w:firstColumn="0" w:lastColumn="0" w:oddVBand="0" w:evenVBand="0" w:oddHBand="1" w:evenHBand="0" w:firstRowFirstColumn="0" w:firstRowLastColumn="0" w:lastRowFirstColumn="0" w:lastRowLastColumn="0"/>
            </w:pPr>
            <w:r>
              <w:t>2</w:t>
            </w:r>
          </w:p>
        </w:tc>
        <w:tc>
          <w:tcPr>
            <w:tcW w:w="3818" w:type="dxa"/>
          </w:tcPr>
          <w:p w14:paraId="77B328D6" w14:textId="77777777" w:rsidR="00F67558" w:rsidRDefault="00836E51" w:rsidP="00BA4292">
            <w:pPr>
              <w:jc w:val="center"/>
              <w:cnfStyle w:val="000000100000" w:firstRow="0" w:lastRow="0" w:firstColumn="0" w:lastColumn="0" w:oddVBand="0" w:evenVBand="0" w:oddHBand="1" w:evenHBand="0" w:firstRowFirstColumn="0" w:firstRowLastColumn="0" w:lastRowFirstColumn="0" w:lastRowLastColumn="0"/>
            </w:pPr>
            <w:r>
              <w:t>Voir ci-dessous</w:t>
            </w:r>
          </w:p>
        </w:tc>
      </w:tr>
      <w:tr w:rsidR="00F67558" w14:paraId="6027666B"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43A4A686" w14:textId="77777777" w:rsidR="00F67558" w:rsidRPr="007E7992" w:rsidRDefault="009C0285" w:rsidP="00F67558">
            <w:pPr>
              <w:rPr>
                <w:b w:val="0"/>
              </w:rPr>
            </w:pPr>
            <w:r>
              <w:rPr>
                <w:b w:val="0"/>
              </w:rPr>
              <w:lastRenderedPageBreak/>
              <w:t>M11</w:t>
            </w:r>
            <w:r w:rsidR="00F67558" w:rsidRPr="007E7992">
              <w:rPr>
                <w:b w:val="0"/>
              </w:rPr>
              <w:t xml:space="preserve">. </w:t>
            </w:r>
            <w:r w:rsidR="00047ED7">
              <w:rPr>
                <w:b w:val="0"/>
              </w:rPr>
              <w:t xml:space="preserve">  </w:t>
            </w:r>
            <w:r w:rsidR="00F67558" w:rsidRPr="007E7992">
              <w:rPr>
                <w:b w:val="0"/>
              </w:rPr>
              <w:t>Chauffage par SER</w:t>
            </w:r>
          </w:p>
        </w:tc>
        <w:tc>
          <w:tcPr>
            <w:tcW w:w="1982" w:type="dxa"/>
          </w:tcPr>
          <w:p w14:paraId="1E953242" w14:textId="77777777" w:rsidR="00F67558" w:rsidRDefault="00F67558" w:rsidP="00BA429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330 000 kWh</w:t>
            </w:r>
          </w:p>
        </w:tc>
        <w:tc>
          <w:tcPr>
            <w:tcW w:w="1149" w:type="dxa"/>
          </w:tcPr>
          <w:p w14:paraId="5CB5BDB4" w14:textId="77777777" w:rsidR="00F67558" w:rsidRDefault="00A85979" w:rsidP="00BA4292">
            <w:pPr>
              <w:jc w:val="center"/>
              <w:cnfStyle w:val="000000000000" w:firstRow="0" w:lastRow="0" w:firstColumn="0" w:lastColumn="0" w:oddVBand="0" w:evenVBand="0" w:oddHBand="0" w:evenHBand="0" w:firstRowFirstColumn="0" w:firstRowLastColumn="0" w:lastRowFirstColumn="0" w:lastRowLastColumn="0"/>
            </w:pPr>
            <w:r>
              <w:t>7</w:t>
            </w:r>
          </w:p>
        </w:tc>
        <w:tc>
          <w:tcPr>
            <w:tcW w:w="3818" w:type="dxa"/>
          </w:tcPr>
          <w:p w14:paraId="433B9747" w14:textId="77777777" w:rsidR="00F67558" w:rsidRDefault="00873B22" w:rsidP="00BA4292">
            <w:pPr>
              <w:jc w:val="center"/>
              <w:cnfStyle w:val="000000000000" w:firstRow="0" w:lastRow="0" w:firstColumn="0" w:lastColumn="0" w:oddVBand="0" w:evenVBand="0" w:oddHBand="0" w:evenHBand="0" w:firstRowFirstColumn="0" w:firstRowLastColumn="0" w:lastRowFirstColumn="0" w:lastRowLastColumn="0"/>
            </w:pPr>
            <w:r>
              <w:t>Voir ci-dessous</w:t>
            </w:r>
          </w:p>
        </w:tc>
      </w:tr>
      <w:tr w:rsidR="005F7FE7" w14:paraId="307C11D8"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6290F8BA" w14:textId="77777777" w:rsidR="005F7FE7" w:rsidRPr="005F7FE7" w:rsidRDefault="005F7FE7" w:rsidP="00F67558">
            <w:pPr>
              <w:rPr>
                <w:b w:val="0"/>
              </w:rPr>
            </w:pPr>
            <w:r w:rsidRPr="005F7FE7">
              <w:rPr>
                <w:b w:val="0"/>
              </w:rPr>
              <w:t>M12.</w:t>
            </w:r>
            <w:r w:rsidR="004C5ACC">
              <w:rPr>
                <w:b w:val="0"/>
              </w:rPr>
              <w:t xml:space="preserve">   Réseau ch. durable</w:t>
            </w:r>
          </w:p>
        </w:tc>
        <w:tc>
          <w:tcPr>
            <w:tcW w:w="1982" w:type="dxa"/>
          </w:tcPr>
          <w:p w14:paraId="6EA2D9F3" w14:textId="77777777" w:rsidR="005F7FE7" w:rsidRDefault="005F7FE7" w:rsidP="00BA4292">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49" w:type="dxa"/>
          </w:tcPr>
          <w:p w14:paraId="78902C12" w14:textId="77777777" w:rsidR="005F7FE7" w:rsidRPr="001E41AE" w:rsidRDefault="001E41AE" w:rsidP="00BA4292">
            <w:pPr>
              <w:jc w:val="center"/>
              <w:cnfStyle w:val="000000100000" w:firstRow="0" w:lastRow="0" w:firstColumn="0" w:lastColumn="0" w:oddVBand="0" w:evenVBand="0" w:oddHBand="1" w:evenHBand="0" w:firstRowFirstColumn="0" w:firstRowLastColumn="0" w:lastRowFirstColumn="0" w:lastRowLastColumn="0"/>
              <w:rPr>
                <w:color w:val="00B050"/>
              </w:rPr>
            </w:pPr>
            <w:r w:rsidRPr="001E41AE">
              <w:rPr>
                <w:color w:val="00B050"/>
              </w:rPr>
              <w:t>7</w:t>
            </w:r>
          </w:p>
        </w:tc>
        <w:tc>
          <w:tcPr>
            <w:tcW w:w="3818" w:type="dxa"/>
          </w:tcPr>
          <w:p w14:paraId="4DF7A4DA" w14:textId="77777777" w:rsidR="005F7FE7" w:rsidRDefault="001E41AE" w:rsidP="00BA4292">
            <w:pPr>
              <w:jc w:val="center"/>
              <w:cnfStyle w:val="000000100000" w:firstRow="0" w:lastRow="0" w:firstColumn="0" w:lastColumn="0" w:oddVBand="0" w:evenVBand="0" w:oddHBand="1" w:evenHBand="0" w:firstRowFirstColumn="0" w:firstRowLastColumn="0" w:lastRowFirstColumn="0" w:lastRowLastColumn="0"/>
            </w:pPr>
            <w:r>
              <w:t>/</w:t>
            </w:r>
          </w:p>
        </w:tc>
      </w:tr>
      <w:tr w:rsidR="005F7FE7" w14:paraId="0966A752"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22C54C5C" w14:textId="77777777" w:rsidR="005F7FE7" w:rsidRPr="005F7FE7" w:rsidRDefault="005F7FE7" w:rsidP="00F67558">
            <w:pPr>
              <w:rPr>
                <w:b w:val="0"/>
              </w:rPr>
            </w:pPr>
            <w:r w:rsidRPr="005F7FE7">
              <w:rPr>
                <w:b w:val="0"/>
              </w:rPr>
              <w:t>M12b.</w:t>
            </w:r>
            <w:r w:rsidR="004C5ACC">
              <w:rPr>
                <w:b w:val="0"/>
              </w:rPr>
              <w:t xml:space="preserve"> Réseau ch. gaz</w:t>
            </w:r>
          </w:p>
        </w:tc>
        <w:tc>
          <w:tcPr>
            <w:tcW w:w="1982" w:type="dxa"/>
          </w:tcPr>
          <w:p w14:paraId="060F2471" w14:textId="77777777" w:rsidR="005F7FE7" w:rsidRDefault="005F7FE7" w:rsidP="00BA4292">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49" w:type="dxa"/>
          </w:tcPr>
          <w:p w14:paraId="0DF5AD50" w14:textId="77777777" w:rsidR="005F7FE7" w:rsidRPr="001E41AE" w:rsidRDefault="001E41AE" w:rsidP="00BA4292">
            <w:pPr>
              <w:jc w:val="center"/>
              <w:cnfStyle w:val="000000000000" w:firstRow="0" w:lastRow="0" w:firstColumn="0" w:lastColumn="0" w:oddVBand="0" w:evenVBand="0" w:oddHBand="0" w:evenHBand="0" w:firstRowFirstColumn="0" w:firstRowLastColumn="0" w:lastRowFirstColumn="0" w:lastRowLastColumn="0"/>
              <w:rPr>
                <w:color w:val="00B050"/>
              </w:rPr>
            </w:pPr>
            <w:r w:rsidRPr="001E41AE">
              <w:rPr>
                <w:color w:val="00B050"/>
              </w:rPr>
              <w:t>6</w:t>
            </w:r>
          </w:p>
        </w:tc>
        <w:tc>
          <w:tcPr>
            <w:tcW w:w="3818" w:type="dxa"/>
          </w:tcPr>
          <w:p w14:paraId="25069AA0" w14:textId="77777777" w:rsidR="005F7FE7" w:rsidRDefault="001E41AE" w:rsidP="00BA4292">
            <w:pPr>
              <w:jc w:val="center"/>
              <w:cnfStyle w:val="000000000000" w:firstRow="0" w:lastRow="0" w:firstColumn="0" w:lastColumn="0" w:oddVBand="0" w:evenVBand="0" w:oddHBand="0" w:evenHBand="0" w:firstRowFirstColumn="0" w:firstRowLastColumn="0" w:lastRowFirstColumn="0" w:lastRowLastColumn="0"/>
            </w:pPr>
            <w:r>
              <w:t>/</w:t>
            </w:r>
          </w:p>
        </w:tc>
      </w:tr>
      <w:tr w:rsidR="00F67558" w14:paraId="246699D0"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422DBB4C" w14:textId="77777777" w:rsidR="00F67558" w:rsidRPr="007E7992" w:rsidRDefault="005F7FE7" w:rsidP="00F67558">
            <w:pPr>
              <w:rPr>
                <w:b w:val="0"/>
              </w:rPr>
            </w:pPr>
            <w:r>
              <w:rPr>
                <w:b w:val="0"/>
              </w:rPr>
              <w:t>M13</w:t>
            </w:r>
            <w:r w:rsidR="00F67558" w:rsidRPr="007E7992">
              <w:rPr>
                <w:b w:val="0"/>
              </w:rPr>
              <w:t xml:space="preserve">. </w:t>
            </w:r>
            <w:r w:rsidR="00047ED7">
              <w:rPr>
                <w:b w:val="0"/>
              </w:rPr>
              <w:t xml:space="preserve">  </w:t>
            </w:r>
            <w:r w:rsidR="00F67558" w:rsidRPr="007E7992">
              <w:rPr>
                <w:b w:val="0"/>
              </w:rPr>
              <w:t>Nouvelle chaudière</w:t>
            </w:r>
          </w:p>
        </w:tc>
        <w:tc>
          <w:tcPr>
            <w:tcW w:w="1982" w:type="dxa"/>
          </w:tcPr>
          <w:p w14:paraId="6F772986" w14:textId="77777777" w:rsidR="00F67558" w:rsidRDefault="00F67558" w:rsidP="00BA429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250 000 kWh</w:t>
            </w:r>
          </w:p>
        </w:tc>
        <w:tc>
          <w:tcPr>
            <w:tcW w:w="1149" w:type="dxa"/>
          </w:tcPr>
          <w:p w14:paraId="4980EE7E" w14:textId="77777777" w:rsidR="00F67558" w:rsidRDefault="00A85979" w:rsidP="00BA4292">
            <w:pPr>
              <w:jc w:val="center"/>
              <w:cnfStyle w:val="000000100000" w:firstRow="0" w:lastRow="0" w:firstColumn="0" w:lastColumn="0" w:oddVBand="0" w:evenVBand="0" w:oddHBand="1" w:evenHBand="0" w:firstRowFirstColumn="0" w:firstRowLastColumn="0" w:lastRowFirstColumn="0" w:lastRowLastColumn="0"/>
            </w:pPr>
            <w:r>
              <w:t>6</w:t>
            </w:r>
          </w:p>
        </w:tc>
        <w:tc>
          <w:tcPr>
            <w:tcW w:w="3818" w:type="dxa"/>
          </w:tcPr>
          <w:p w14:paraId="724A3881" w14:textId="77777777" w:rsidR="00F67558" w:rsidRDefault="00873B22" w:rsidP="00BA4292">
            <w:pPr>
              <w:jc w:val="center"/>
              <w:cnfStyle w:val="000000100000" w:firstRow="0" w:lastRow="0" w:firstColumn="0" w:lastColumn="0" w:oddVBand="0" w:evenVBand="0" w:oddHBand="1" w:evenHBand="0" w:firstRowFirstColumn="0" w:firstRowLastColumn="0" w:lastRowFirstColumn="0" w:lastRowLastColumn="0"/>
            </w:pPr>
            <w:r>
              <w:t>Voir ci-dessous</w:t>
            </w:r>
          </w:p>
        </w:tc>
      </w:tr>
      <w:tr w:rsidR="00F67558" w14:paraId="48AC0D65"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0F27783D" w14:textId="77777777" w:rsidR="00F67558" w:rsidRPr="007E7992" w:rsidRDefault="005F7FE7" w:rsidP="00F67558">
            <w:pPr>
              <w:rPr>
                <w:b w:val="0"/>
              </w:rPr>
            </w:pPr>
            <w:r>
              <w:rPr>
                <w:b w:val="0"/>
              </w:rPr>
              <w:t>M14</w:t>
            </w:r>
            <w:r w:rsidR="00F67558" w:rsidRPr="007E7992">
              <w:rPr>
                <w:b w:val="0"/>
              </w:rPr>
              <w:t xml:space="preserve">. </w:t>
            </w:r>
            <w:r w:rsidR="00047ED7">
              <w:rPr>
                <w:b w:val="0"/>
              </w:rPr>
              <w:t xml:space="preserve">  Nvelle </w:t>
            </w:r>
            <w:proofErr w:type="spellStart"/>
            <w:r w:rsidR="00047ED7">
              <w:rPr>
                <w:b w:val="0"/>
              </w:rPr>
              <w:t>inst</w:t>
            </w:r>
            <w:proofErr w:type="spellEnd"/>
            <w:r w:rsidR="00047ED7">
              <w:rPr>
                <w:b w:val="0"/>
              </w:rPr>
              <w:t xml:space="preserve">. </w:t>
            </w:r>
            <w:proofErr w:type="spellStart"/>
            <w:r w:rsidR="00047ED7">
              <w:rPr>
                <w:b w:val="0"/>
              </w:rPr>
              <w:t>chauff</w:t>
            </w:r>
            <w:proofErr w:type="spellEnd"/>
            <w:r w:rsidR="00047ED7">
              <w:rPr>
                <w:b w:val="0"/>
              </w:rPr>
              <w:t>.</w:t>
            </w:r>
          </w:p>
        </w:tc>
        <w:tc>
          <w:tcPr>
            <w:tcW w:w="1982" w:type="dxa"/>
          </w:tcPr>
          <w:p w14:paraId="783C6E0F" w14:textId="77777777" w:rsidR="00F67558" w:rsidRDefault="00F67558" w:rsidP="00BA429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330 000 kWh</w:t>
            </w:r>
          </w:p>
        </w:tc>
        <w:tc>
          <w:tcPr>
            <w:tcW w:w="1149" w:type="dxa"/>
          </w:tcPr>
          <w:p w14:paraId="4157349A" w14:textId="77777777" w:rsidR="00F67558" w:rsidRDefault="00A85979" w:rsidP="00BA4292">
            <w:pPr>
              <w:jc w:val="center"/>
              <w:cnfStyle w:val="000000000000" w:firstRow="0" w:lastRow="0" w:firstColumn="0" w:lastColumn="0" w:oddVBand="0" w:evenVBand="0" w:oddHBand="0" w:evenHBand="0" w:firstRowFirstColumn="0" w:firstRowLastColumn="0" w:lastRowFirstColumn="0" w:lastRowLastColumn="0"/>
            </w:pPr>
            <w:r>
              <w:t>7</w:t>
            </w:r>
          </w:p>
        </w:tc>
        <w:tc>
          <w:tcPr>
            <w:tcW w:w="3818" w:type="dxa"/>
          </w:tcPr>
          <w:p w14:paraId="4989DB3A" w14:textId="77777777" w:rsidR="00F67558" w:rsidRDefault="00873B22" w:rsidP="00BA4292">
            <w:pPr>
              <w:jc w:val="center"/>
              <w:cnfStyle w:val="000000000000" w:firstRow="0" w:lastRow="0" w:firstColumn="0" w:lastColumn="0" w:oddVBand="0" w:evenVBand="0" w:oddHBand="0" w:evenHBand="0" w:firstRowFirstColumn="0" w:firstRowLastColumn="0" w:lastRowFirstColumn="0" w:lastRowLastColumn="0"/>
            </w:pPr>
            <w:r>
              <w:t>Voir ci-dessous</w:t>
            </w:r>
          </w:p>
        </w:tc>
      </w:tr>
      <w:tr w:rsidR="00F67558" w14:paraId="125F6857"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0B8AC6EB" w14:textId="77777777" w:rsidR="00F67558" w:rsidRPr="007E7992" w:rsidRDefault="005F7FE7" w:rsidP="00F67558">
            <w:pPr>
              <w:rPr>
                <w:b w:val="0"/>
              </w:rPr>
            </w:pPr>
            <w:r>
              <w:rPr>
                <w:b w:val="0"/>
              </w:rPr>
              <w:t>M15</w:t>
            </w:r>
            <w:r w:rsidR="00F67558" w:rsidRPr="007E7992">
              <w:rPr>
                <w:b w:val="0"/>
              </w:rPr>
              <w:t xml:space="preserve">. </w:t>
            </w:r>
            <w:r w:rsidR="00047ED7">
              <w:rPr>
                <w:b w:val="0"/>
              </w:rPr>
              <w:t xml:space="preserve">  </w:t>
            </w:r>
            <w:proofErr w:type="spellStart"/>
            <w:r w:rsidR="00047ED7">
              <w:rPr>
                <w:b w:val="0"/>
              </w:rPr>
              <w:t>Isol</w:t>
            </w:r>
            <w:proofErr w:type="spellEnd"/>
            <w:r w:rsidR="00047ED7">
              <w:rPr>
                <w:b w:val="0"/>
              </w:rPr>
              <w:t>.</w:t>
            </w:r>
            <w:r w:rsidR="00F67558" w:rsidRPr="007E7992">
              <w:rPr>
                <w:b w:val="0"/>
              </w:rPr>
              <w:t xml:space="preserve"> </w:t>
            </w:r>
            <w:proofErr w:type="spellStart"/>
            <w:r w:rsidR="00F67558" w:rsidRPr="007E7992">
              <w:rPr>
                <w:b w:val="0"/>
              </w:rPr>
              <w:t>dist</w:t>
            </w:r>
            <w:r w:rsidR="00A85979" w:rsidRPr="007E7992">
              <w:rPr>
                <w:b w:val="0"/>
              </w:rPr>
              <w:t>r</w:t>
            </w:r>
            <w:proofErr w:type="spellEnd"/>
            <w:r w:rsidR="00F67558" w:rsidRPr="007E7992">
              <w:rPr>
                <w:b w:val="0"/>
              </w:rPr>
              <w:t xml:space="preserve">. </w:t>
            </w:r>
            <w:proofErr w:type="spellStart"/>
            <w:r w:rsidR="00F67558" w:rsidRPr="007E7992">
              <w:rPr>
                <w:b w:val="0"/>
              </w:rPr>
              <w:t>chauff</w:t>
            </w:r>
            <w:proofErr w:type="spellEnd"/>
            <w:r w:rsidR="00F67558" w:rsidRPr="007E7992">
              <w:rPr>
                <w:b w:val="0"/>
              </w:rPr>
              <w:t>.</w:t>
            </w:r>
          </w:p>
        </w:tc>
        <w:tc>
          <w:tcPr>
            <w:tcW w:w="1982" w:type="dxa"/>
          </w:tcPr>
          <w:p w14:paraId="65FDD613" w14:textId="77777777" w:rsidR="00F67558" w:rsidRDefault="00F67558" w:rsidP="00BA429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B64CE5">
              <w:rPr>
                <w:rFonts w:cstheme="minorHAnsi"/>
              </w:rPr>
              <w:t xml:space="preserve"> 4</w:t>
            </w:r>
            <w:r>
              <w:rPr>
                <w:rFonts w:cstheme="minorHAnsi"/>
              </w:rPr>
              <w:t>0 000 kWh</w:t>
            </w:r>
          </w:p>
        </w:tc>
        <w:tc>
          <w:tcPr>
            <w:tcW w:w="1149" w:type="dxa"/>
          </w:tcPr>
          <w:p w14:paraId="560A734A" w14:textId="77777777" w:rsidR="00F67558" w:rsidRDefault="00A85979" w:rsidP="00BA4292">
            <w:pPr>
              <w:jc w:val="center"/>
              <w:cnfStyle w:val="000000100000" w:firstRow="0" w:lastRow="0" w:firstColumn="0" w:lastColumn="0" w:oddVBand="0" w:evenVBand="0" w:oddHBand="1" w:evenHBand="0" w:firstRowFirstColumn="0" w:firstRowLastColumn="0" w:lastRowFirstColumn="0" w:lastRowLastColumn="0"/>
            </w:pPr>
            <w:r>
              <w:t>3</w:t>
            </w:r>
          </w:p>
        </w:tc>
        <w:tc>
          <w:tcPr>
            <w:tcW w:w="3818" w:type="dxa"/>
          </w:tcPr>
          <w:p w14:paraId="69F5B64C" w14:textId="77777777" w:rsidR="00F67558" w:rsidRDefault="00873B22" w:rsidP="00BA4292">
            <w:pPr>
              <w:jc w:val="center"/>
              <w:cnfStyle w:val="000000100000" w:firstRow="0" w:lastRow="0" w:firstColumn="0" w:lastColumn="0" w:oddVBand="0" w:evenVBand="0" w:oddHBand="1" w:evenHBand="0" w:firstRowFirstColumn="0" w:firstRowLastColumn="0" w:lastRowFirstColumn="0" w:lastRowLastColumn="0"/>
            </w:pPr>
            <w:r>
              <w:t>Voir ci-dessous</w:t>
            </w:r>
          </w:p>
        </w:tc>
      </w:tr>
      <w:tr w:rsidR="00F67558" w14:paraId="54F17044"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71328634" w14:textId="77777777" w:rsidR="00F67558" w:rsidRPr="007E7992" w:rsidRDefault="005F7FE7" w:rsidP="00F67558">
            <w:pPr>
              <w:rPr>
                <w:b w:val="0"/>
              </w:rPr>
            </w:pPr>
            <w:r>
              <w:rPr>
                <w:b w:val="0"/>
              </w:rPr>
              <w:t>M16</w:t>
            </w:r>
            <w:r w:rsidR="00B64CE5" w:rsidRPr="007E7992">
              <w:rPr>
                <w:b w:val="0"/>
              </w:rPr>
              <w:t xml:space="preserve">. </w:t>
            </w:r>
            <w:r w:rsidR="00047ED7">
              <w:rPr>
                <w:b w:val="0"/>
              </w:rPr>
              <w:t xml:space="preserve">  </w:t>
            </w:r>
            <w:r w:rsidR="00B64CE5" w:rsidRPr="007E7992">
              <w:rPr>
                <w:b w:val="0"/>
              </w:rPr>
              <w:t>Dégager émetteurs</w:t>
            </w:r>
          </w:p>
        </w:tc>
        <w:tc>
          <w:tcPr>
            <w:tcW w:w="1982" w:type="dxa"/>
          </w:tcPr>
          <w:p w14:paraId="3A53665D" w14:textId="77777777" w:rsidR="00F67558" w:rsidRDefault="00B64CE5" w:rsidP="00BA429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3 000 kWh</w:t>
            </w:r>
          </w:p>
        </w:tc>
        <w:tc>
          <w:tcPr>
            <w:tcW w:w="1149" w:type="dxa"/>
          </w:tcPr>
          <w:p w14:paraId="2C8ABFCC" w14:textId="77777777" w:rsidR="00F67558" w:rsidRDefault="00A85979" w:rsidP="00BA4292">
            <w:pPr>
              <w:jc w:val="center"/>
              <w:cnfStyle w:val="000000000000" w:firstRow="0" w:lastRow="0" w:firstColumn="0" w:lastColumn="0" w:oddVBand="0" w:evenVBand="0" w:oddHBand="0" w:evenHBand="0" w:firstRowFirstColumn="0" w:firstRowLastColumn="0" w:lastRowFirstColumn="0" w:lastRowLastColumn="0"/>
            </w:pPr>
            <w:r>
              <w:t>1</w:t>
            </w:r>
          </w:p>
        </w:tc>
        <w:tc>
          <w:tcPr>
            <w:tcW w:w="3818" w:type="dxa"/>
          </w:tcPr>
          <w:p w14:paraId="61ECCFEC" w14:textId="77777777" w:rsidR="00F67558" w:rsidRDefault="00873B22" w:rsidP="00BA4292">
            <w:pPr>
              <w:jc w:val="center"/>
              <w:cnfStyle w:val="000000000000" w:firstRow="0" w:lastRow="0" w:firstColumn="0" w:lastColumn="0" w:oddVBand="0" w:evenVBand="0" w:oddHBand="0" w:evenHBand="0" w:firstRowFirstColumn="0" w:firstRowLastColumn="0" w:lastRowFirstColumn="0" w:lastRowLastColumn="0"/>
            </w:pPr>
            <w:r>
              <w:t>Voir ci-dessous</w:t>
            </w:r>
          </w:p>
        </w:tc>
      </w:tr>
      <w:tr w:rsidR="00F67558" w14:paraId="0C656FFD"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4D6CD13F" w14:textId="77777777" w:rsidR="00F67558" w:rsidRPr="007E7992" w:rsidRDefault="005F7FE7" w:rsidP="00F67558">
            <w:pPr>
              <w:rPr>
                <w:b w:val="0"/>
              </w:rPr>
            </w:pPr>
            <w:r>
              <w:rPr>
                <w:b w:val="0"/>
              </w:rPr>
              <w:t>M17</w:t>
            </w:r>
            <w:r w:rsidR="00B64CE5" w:rsidRPr="007E7992">
              <w:rPr>
                <w:b w:val="0"/>
              </w:rPr>
              <w:t xml:space="preserve">. </w:t>
            </w:r>
            <w:r w:rsidR="00047ED7">
              <w:rPr>
                <w:b w:val="0"/>
              </w:rPr>
              <w:t xml:space="preserve">  </w:t>
            </w:r>
            <w:r w:rsidR="00B64CE5" w:rsidRPr="007E7992">
              <w:rPr>
                <w:b w:val="0"/>
              </w:rPr>
              <w:t>Isoler arrière rad.</w:t>
            </w:r>
          </w:p>
        </w:tc>
        <w:tc>
          <w:tcPr>
            <w:tcW w:w="1982" w:type="dxa"/>
          </w:tcPr>
          <w:p w14:paraId="62A430FB" w14:textId="77777777" w:rsidR="00F67558" w:rsidRDefault="00B64CE5" w:rsidP="00B64CE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1 500 kWh</w:t>
            </w:r>
          </w:p>
        </w:tc>
        <w:tc>
          <w:tcPr>
            <w:tcW w:w="1149" w:type="dxa"/>
          </w:tcPr>
          <w:p w14:paraId="4FF7F7E1" w14:textId="77777777" w:rsidR="00F67558" w:rsidRDefault="00A85979" w:rsidP="00BA4292">
            <w:pPr>
              <w:jc w:val="center"/>
              <w:cnfStyle w:val="000000100000" w:firstRow="0" w:lastRow="0" w:firstColumn="0" w:lastColumn="0" w:oddVBand="0" w:evenVBand="0" w:oddHBand="1" w:evenHBand="0" w:firstRowFirstColumn="0" w:firstRowLastColumn="0" w:lastRowFirstColumn="0" w:lastRowLastColumn="0"/>
            </w:pPr>
            <w:r>
              <w:t>1</w:t>
            </w:r>
          </w:p>
        </w:tc>
        <w:tc>
          <w:tcPr>
            <w:tcW w:w="3818" w:type="dxa"/>
          </w:tcPr>
          <w:p w14:paraId="76ED65C0" w14:textId="77777777" w:rsidR="00F67558" w:rsidRDefault="00873B22" w:rsidP="00BA4292">
            <w:pPr>
              <w:jc w:val="center"/>
              <w:cnfStyle w:val="000000100000" w:firstRow="0" w:lastRow="0" w:firstColumn="0" w:lastColumn="0" w:oddVBand="0" w:evenVBand="0" w:oddHBand="1" w:evenHBand="0" w:firstRowFirstColumn="0" w:firstRowLastColumn="0" w:lastRowFirstColumn="0" w:lastRowLastColumn="0"/>
            </w:pPr>
            <w:r>
              <w:t>Voir ci-dessous</w:t>
            </w:r>
          </w:p>
        </w:tc>
      </w:tr>
      <w:tr w:rsidR="00F67558" w14:paraId="689C8547"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2A85EC7E" w14:textId="77777777" w:rsidR="00F67558" w:rsidRPr="007E7992" w:rsidRDefault="005F7FE7" w:rsidP="00F67558">
            <w:pPr>
              <w:rPr>
                <w:b w:val="0"/>
              </w:rPr>
            </w:pPr>
            <w:r>
              <w:rPr>
                <w:b w:val="0"/>
              </w:rPr>
              <w:t>M18</w:t>
            </w:r>
            <w:r w:rsidR="00B64CE5" w:rsidRPr="007E7992">
              <w:rPr>
                <w:b w:val="0"/>
              </w:rPr>
              <w:t xml:space="preserve">. </w:t>
            </w:r>
            <w:r w:rsidR="00047ED7">
              <w:rPr>
                <w:b w:val="0"/>
              </w:rPr>
              <w:t xml:space="preserve">  M</w:t>
            </w:r>
            <w:r w:rsidR="00B64CE5" w:rsidRPr="007E7992">
              <w:rPr>
                <w:b w:val="0"/>
              </w:rPr>
              <w:t>aintenance</w:t>
            </w:r>
          </w:p>
        </w:tc>
        <w:tc>
          <w:tcPr>
            <w:tcW w:w="1982" w:type="dxa"/>
          </w:tcPr>
          <w:p w14:paraId="6ECE5E5C" w14:textId="77777777" w:rsidR="00F67558" w:rsidRDefault="00B64CE5" w:rsidP="00BA429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(mesure d’appui)</w:t>
            </w:r>
          </w:p>
        </w:tc>
        <w:tc>
          <w:tcPr>
            <w:tcW w:w="1149" w:type="dxa"/>
          </w:tcPr>
          <w:p w14:paraId="7E06DF49" w14:textId="77777777" w:rsidR="00F67558" w:rsidRDefault="00C376E0" w:rsidP="00BA4292">
            <w:pPr>
              <w:jc w:val="center"/>
              <w:cnfStyle w:val="000000000000" w:firstRow="0" w:lastRow="0" w:firstColumn="0" w:lastColumn="0" w:oddVBand="0" w:evenVBand="0" w:oddHBand="0" w:evenHBand="0" w:firstRowFirstColumn="0" w:firstRowLastColumn="0" w:lastRowFirstColumn="0" w:lastRowLastColumn="0"/>
            </w:pPr>
            <w:r>
              <w:t>/</w:t>
            </w:r>
          </w:p>
        </w:tc>
        <w:tc>
          <w:tcPr>
            <w:tcW w:w="3818" w:type="dxa"/>
          </w:tcPr>
          <w:p w14:paraId="68B0FB10" w14:textId="77777777" w:rsidR="00F67558" w:rsidRDefault="00CD0330" w:rsidP="00BA4292">
            <w:pPr>
              <w:jc w:val="center"/>
              <w:cnfStyle w:val="000000000000" w:firstRow="0" w:lastRow="0" w:firstColumn="0" w:lastColumn="0" w:oddVBand="0" w:evenVBand="0" w:oddHBand="0" w:evenHBand="0" w:firstRowFirstColumn="0" w:firstRowLastColumn="0" w:lastRowFirstColumn="0" w:lastRowLastColumn="0"/>
            </w:pPr>
            <w:r>
              <w:t>/</w:t>
            </w:r>
          </w:p>
        </w:tc>
      </w:tr>
      <w:tr w:rsidR="00B64CE5" w14:paraId="1C95F75C"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57B1E748" w14:textId="77777777" w:rsidR="00B64CE5" w:rsidRPr="007E7992" w:rsidRDefault="005F7FE7" w:rsidP="00F67558">
            <w:pPr>
              <w:rPr>
                <w:b w:val="0"/>
              </w:rPr>
            </w:pPr>
            <w:r>
              <w:rPr>
                <w:b w:val="0"/>
              </w:rPr>
              <w:t>M19</w:t>
            </w:r>
            <w:r w:rsidR="00B64CE5" w:rsidRPr="007E7992">
              <w:rPr>
                <w:b w:val="0"/>
              </w:rPr>
              <w:t xml:space="preserve">. </w:t>
            </w:r>
            <w:r w:rsidR="00047ED7">
              <w:rPr>
                <w:b w:val="0"/>
              </w:rPr>
              <w:t xml:space="preserve">  </w:t>
            </w:r>
            <w:r w:rsidR="00B64CE5" w:rsidRPr="007E7992">
              <w:rPr>
                <w:b w:val="0"/>
              </w:rPr>
              <w:t>Régul. en T glissante</w:t>
            </w:r>
          </w:p>
        </w:tc>
        <w:tc>
          <w:tcPr>
            <w:tcW w:w="1982" w:type="dxa"/>
          </w:tcPr>
          <w:p w14:paraId="5F02A3F9" w14:textId="77777777" w:rsidR="00B64CE5" w:rsidRDefault="00B64CE5" w:rsidP="00BA429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50 000 kWh</w:t>
            </w:r>
          </w:p>
        </w:tc>
        <w:tc>
          <w:tcPr>
            <w:tcW w:w="1149" w:type="dxa"/>
          </w:tcPr>
          <w:p w14:paraId="03597A1A" w14:textId="77777777" w:rsidR="00B64CE5" w:rsidRDefault="00A85979" w:rsidP="00BA4292">
            <w:pPr>
              <w:jc w:val="center"/>
              <w:cnfStyle w:val="000000100000" w:firstRow="0" w:lastRow="0" w:firstColumn="0" w:lastColumn="0" w:oddVBand="0" w:evenVBand="0" w:oddHBand="1" w:evenHBand="0" w:firstRowFirstColumn="0" w:firstRowLastColumn="0" w:lastRowFirstColumn="0" w:lastRowLastColumn="0"/>
            </w:pPr>
            <w:r>
              <w:t>3</w:t>
            </w:r>
          </w:p>
        </w:tc>
        <w:tc>
          <w:tcPr>
            <w:tcW w:w="3818" w:type="dxa"/>
          </w:tcPr>
          <w:p w14:paraId="1AADE77A" w14:textId="77777777" w:rsidR="00B64CE5" w:rsidRDefault="00873B22" w:rsidP="00BA4292">
            <w:pPr>
              <w:jc w:val="center"/>
              <w:cnfStyle w:val="000000100000" w:firstRow="0" w:lastRow="0" w:firstColumn="0" w:lastColumn="0" w:oddVBand="0" w:evenVBand="0" w:oddHBand="1" w:evenHBand="0" w:firstRowFirstColumn="0" w:firstRowLastColumn="0" w:lastRowFirstColumn="0" w:lastRowLastColumn="0"/>
            </w:pPr>
            <w:r>
              <w:t>Voir ci-dessous</w:t>
            </w:r>
          </w:p>
        </w:tc>
      </w:tr>
      <w:tr w:rsidR="00B64CE5" w14:paraId="14903231"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403F3533" w14:textId="77777777" w:rsidR="00B64CE5" w:rsidRPr="007E7992" w:rsidRDefault="005F7FE7" w:rsidP="00F67558">
            <w:pPr>
              <w:rPr>
                <w:b w:val="0"/>
              </w:rPr>
            </w:pPr>
            <w:r>
              <w:rPr>
                <w:b w:val="0"/>
              </w:rPr>
              <w:t>M20</w:t>
            </w:r>
            <w:r w:rsidR="00B64CE5" w:rsidRPr="007E7992">
              <w:rPr>
                <w:b w:val="0"/>
              </w:rPr>
              <w:t xml:space="preserve">. </w:t>
            </w:r>
            <w:r w:rsidR="00047ED7">
              <w:rPr>
                <w:b w:val="0"/>
              </w:rPr>
              <w:t xml:space="preserve">  </w:t>
            </w:r>
            <w:r w:rsidR="00B64CE5" w:rsidRPr="007E7992">
              <w:rPr>
                <w:b w:val="0"/>
              </w:rPr>
              <w:t xml:space="preserve">Vannes </w:t>
            </w:r>
            <w:proofErr w:type="spellStart"/>
            <w:r w:rsidR="00B64CE5" w:rsidRPr="007E7992">
              <w:rPr>
                <w:b w:val="0"/>
              </w:rPr>
              <w:t>therm</w:t>
            </w:r>
            <w:proofErr w:type="spellEnd"/>
            <w:r w:rsidR="00B64CE5" w:rsidRPr="007E7992">
              <w:rPr>
                <w:b w:val="0"/>
              </w:rPr>
              <w:t>.</w:t>
            </w:r>
          </w:p>
        </w:tc>
        <w:tc>
          <w:tcPr>
            <w:tcW w:w="1982" w:type="dxa"/>
          </w:tcPr>
          <w:p w14:paraId="53E8C8E2" w14:textId="77777777" w:rsidR="00B64CE5" w:rsidRDefault="00B64CE5" w:rsidP="00BA429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30 000 kWh</w:t>
            </w:r>
          </w:p>
        </w:tc>
        <w:tc>
          <w:tcPr>
            <w:tcW w:w="1149" w:type="dxa"/>
          </w:tcPr>
          <w:p w14:paraId="246F5A66" w14:textId="77777777" w:rsidR="00B64CE5" w:rsidRDefault="00A85979" w:rsidP="00BA4292">
            <w:pPr>
              <w:jc w:val="center"/>
              <w:cnfStyle w:val="000000000000" w:firstRow="0" w:lastRow="0" w:firstColumn="0" w:lastColumn="0" w:oddVBand="0" w:evenVBand="0" w:oddHBand="0" w:evenHBand="0" w:firstRowFirstColumn="0" w:firstRowLastColumn="0" w:lastRowFirstColumn="0" w:lastRowLastColumn="0"/>
            </w:pPr>
            <w:r>
              <w:t>3</w:t>
            </w:r>
          </w:p>
        </w:tc>
        <w:tc>
          <w:tcPr>
            <w:tcW w:w="3818" w:type="dxa"/>
          </w:tcPr>
          <w:p w14:paraId="5EEBBBCB" w14:textId="77777777" w:rsidR="00B64CE5" w:rsidRDefault="00873B22" w:rsidP="00BA4292">
            <w:pPr>
              <w:jc w:val="center"/>
              <w:cnfStyle w:val="000000000000" w:firstRow="0" w:lastRow="0" w:firstColumn="0" w:lastColumn="0" w:oddVBand="0" w:evenVBand="0" w:oddHBand="0" w:evenHBand="0" w:firstRowFirstColumn="0" w:firstRowLastColumn="0" w:lastRowFirstColumn="0" w:lastRowLastColumn="0"/>
            </w:pPr>
            <w:r>
              <w:t>Voir ci-dessous</w:t>
            </w:r>
          </w:p>
        </w:tc>
      </w:tr>
      <w:tr w:rsidR="00B64CE5" w14:paraId="02ECD8C3"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7AE2344D" w14:textId="77777777" w:rsidR="00B64CE5" w:rsidRPr="007E7992" w:rsidRDefault="005F7FE7" w:rsidP="00F67558">
            <w:pPr>
              <w:rPr>
                <w:b w:val="0"/>
              </w:rPr>
            </w:pPr>
            <w:r>
              <w:rPr>
                <w:b w:val="0"/>
              </w:rPr>
              <w:t>M21</w:t>
            </w:r>
            <w:r w:rsidR="00B64CE5" w:rsidRPr="007E7992">
              <w:rPr>
                <w:b w:val="0"/>
              </w:rPr>
              <w:t xml:space="preserve">. </w:t>
            </w:r>
            <w:r w:rsidR="00047ED7">
              <w:rPr>
                <w:b w:val="0"/>
              </w:rPr>
              <w:t xml:space="preserve">  </w:t>
            </w:r>
            <w:r w:rsidR="00B64CE5" w:rsidRPr="007E7992">
              <w:rPr>
                <w:b w:val="0"/>
              </w:rPr>
              <w:t>Intermittence</w:t>
            </w:r>
          </w:p>
        </w:tc>
        <w:tc>
          <w:tcPr>
            <w:tcW w:w="1982" w:type="dxa"/>
          </w:tcPr>
          <w:p w14:paraId="52FD5825" w14:textId="77777777" w:rsidR="00B64CE5" w:rsidRDefault="00B64CE5" w:rsidP="00BA429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50 000 kWh</w:t>
            </w:r>
          </w:p>
        </w:tc>
        <w:tc>
          <w:tcPr>
            <w:tcW w:w="1149" w:type="dxa"/>
          </w:tcPr>
          <w:p w14:paraId="5C2B6C1D" w14:textId="77777777" w:rsidR="00B64CE5" w:rsidRDefault="00A85979" w:rsidP="00BA4292">
            <w:pPr>
              <w:jc w:val="center"/>
              <w:cnfStyle w:val="000000100000" w:firstRow="0" w:lastRow="0" w:firstColumn="0" w:lastColumn="0" w:oddVBand="0" w:evenVBand="0" w:oddHBand="1" w:evenHBand="0" w:firstRowFirstColumn="0" w:firstRowLastColumn="0" w:lastRowFirstColumn="0" w:lastRowLastColumn="0"/>
            </w:pPr>
            <w:r>
              <w:t>3</w:t>
            </w:r>
          </w:p>
        </w:tc>
        <w:tc>
          <w:tcPr>
            <w:tcW w:w="3818" w:type="dxa"/>
          </w:tcPr>
          <w:p w14:paraId="08DF8B3A" w14:textId="77777777" w:rsidR="00B64CE5" w:rsidRDefault="00873B22" w:rsidP="00BA4292">
            <w:pPr>
              <w:jc w:val="center"/>
              <w:cnfStyle w:val="000000100000" w:firstRow="0" w:lastRow="0" w:firstColumn="0" w:lastColumn="0" w:oddVBand="0" w:evenVBand="0" w:oddHBand="1" w:evenHBand="0" w:firstRowFirstColumn="0" w:firstRowLastColumn="0" w:lastRowFirstColumn="0" w:lastRowLastColumn="0"/>
            </w:pPr>
            <w:r>
              <w:t>Voir ci-dessous</w:t>
            </w:r>
          </w:p>
        </w:tc>
      </w:tr>
      <w:tr w:rsidR="00B64CE5" w14:paraId="43DBA764"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53445627" w14:textId="77777777" w:rsidR="00B64CE5" w:rsidRPr="007E7992" w:rsidRDefault="005F7FE7" w:rsidP="00F67558">
            <w:pPr>
              <w:rPr>
                <w:b w:val="0"/>
              </w:rPr>
            </w:pPr>
            <w:r>
              <w:rPr>
                <w:b w:val="0"/>
              </w:rPr>
              <w:t>M22</w:t>
            </w:r>
            <w:r w:rsidR="00B64CE5" w:rsidRPr="007E7992">
              <w:rPr>
                <w:b w:val="0"/>
              </w:rPr>
              <w:t xml:space="preserve">. </w:t>
            </w:r>
            <w:r w:rsidR="00047ED7">
              <w:rPr>
                <w:b w:val="0"/>
              </w:rPr>
              <w:t xml:space="preserve">  </w:t>
            </w:r>
            <w:proofErr w:type="spellStart"/>
            <w:r w:rsidR="00B64CE5" w:rsidRPr="007E7992">
              <w:rPr>
                <w:b w:val="0"/>
              </w:rPr>
              <w:t>Circul</w:t>
            </w:r>
            <w:proofErr w:type="spellEnd"/>
            <w:r w:rsidR="00B64CE5" w:rsidRPr="007E7992">
              <w:rPr>
                <w:b w:val="0"/>
              </w:rPr>
              <w:t>. vit. variable</w:t>
            </w:r>
          </w:p>
        </w:tc>
        <w:tc>
          <w:tcPr>
            <w:tcW w:w="1982" w:type="dxa"/>
          </w:tcPr>
          <w:p w14:paraId="7FAA018A" w14:textId="77777777" w:rsidR="00B64CE5" w:rsidRDefault="00B64CE5" w:rsidP="00BA429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10 000 kWh</w:t>
            </w:r>
          </w:p>
        </w:tc>
        <w:tc>
          <w:tcPr>
            <w:tcW w:w="1149" w:type="dxa"/>
          </w:tcPr>
          <w:p w14:paraId="380A0724" w14:textId="77777777" w:rsidR="00B64CE5" w:rsidRDefault="00A85979" w:rsidP="00BA4292">
            <w:pPr>
              <w:jc w:val="center"/>
              <w:cnfStyle w:val="000000000000" w:firstRow="0" w:lastRow="0" w:firstColumn="0" w:lastColumn="0" w:oddVBand="0" w:evenVBand="0" w:oddHBand="0" w:evenHBand="0" w:firstRowFirstColumn="0" w:firstRowLastColumn="0" w:lastRowFirstColumn="0" w:lastRowLastColumn="0"/>
            </w:pPr>
            <w:r>
              <w:t>2</w:t>
            </w:r>
          </w:p>
        </w:tc>
        <w:tc>
          <w:tcPr>
            <w:tcW w:w="3818" w:type="dxa"/>
          </w:tcPr>
          <w:p w14:paraId="73C0BB3A" w14:textId="77777777" w:rsidR="00B64CE5" w:rsidRDefault="00873B22" w:rsidP="00BA4292">
            <w:pPr>
              <w:jc w:val="center"/>
              <w:cnfStyle w:val="000000000000" w:firstRow="0" w:lastRow="0" w:firstColumn="0" w:lastColumn="0" w:oddVBand="0" w:evenVBand="0" w:oddHBand="0" w:evenHBand="0" w:firstRowFirstColumn="0" w:firstRowLastColumn="0" w:lastRowFirstColumn="0" w:lastRowLastColumn="0"/>
            </w:pPr>
            <w:r>
              <w:t>Voir ci-dessous</w:t>
            </w:r>
          </w:p>
        </w:tc>
      </w:tr>
      <w:tr w:rsidR="00B64CE5" w14:paraId="1A2B40A9"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5CB182F7" w14:textId="77777777" w:rsidR="00B64CE5" w:rsidRPr="007E7992" w:rsidRDefault="005F7FE7" w:rsidP="00F67558">
            <w:pPr>
              <w:rPr>
                <w:b w:val="0"/>
              </w:rPr>
            </w:pPr>
            <w:r>
              <w:rPr>
                <w:b w:val="0"/>
              </w:rPr>
              <w:t>M23</w:t>
            </w:r>
            <w:r w:rsidR="00B64CE5" w:rsidRPr="007E7992">
              <w:rPr>
                <w:b w:val="0"/>
              </w:rPr>
              <w:t xml:space="preserve">. </w:t>
            </w:r>
            <w:r w:rsidR="00047ED7">
              <w:rPr>
                <w:b w:val="0"/>
              </w:rPr>
              <w:t xml:space="preserve">  </w:t>
            </w:r>
            <w:r w:rsidR="00B64CE5" w:rsidRPr="007E7992">
              <w:rPr>
                <w:b w:val="0"/>
              </w:rPr>
              <w:t>Réno. ECS avec SER</w:t>
            </w:r>
          </w:p>
        </w:tc>
        <w:tc>
          <w:tcPr>
            <w:tcW w:w="1982" w:type="dxa"/>
          </w:tcPr>
          <w:p w14:paraId="20FA1D31" w14:textId="77777777" w:rsidR="00B64CE5" w:rsidRDefault="00B64CE5" w:rsidP="00BA429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100 000 kWh</w:t>
            </w:r>
          </w:p>
        </w:tc>
        <w:tc>
          <w:tcPr>
            <w:tcW w:w="1149" w:type="dxa"/>
          </w:tcPr>
          <w:p w14:paraId="363EA403" w14:textId="77777777" w:rsidR="00B64CE5" w:rsidRDefault="00A85979" w:rsidP="00BA4292">
            <w:pPr>
              <w:jc w:val="center"/>
              <w:cnfStyle w:val="000000100000" w:firstRow="0" w:lastRow="0" w:firstColumn="0" w:lastColumn="0" w:oddVBand="0" w:evenVBand="0" w:oddHBand="1" w:evenHBand="0" w:firstRowFirstColumn="0" w:firstRowLastColumn="0" w:lastRowFirstColumn="0" w:lastRowLastColumn="0"/>
            </w:pPr>
            <w:r>
              <w:t>5</w:t>
            </w:r>
          </w:p>
        </w:tc>
        <w:tc>
          <w:tcPr>
            <w:tcW w:w="3818" w:type="dxa"/>
          </w:tcPr>
          <w:p w14:paraId="1C26DE4F" w14:textId="77777777" w:rsidR="00B64CE5" w:rsidRDefault="00873B22" w:rsidP="00BA4292">
            <w:pPr>
              <w:jc w:val="center"/>
              <w:cnfStyle w:val="000000100000" w:firstRow="0" w:lastRow="0" w:firstColumn="0" w:lastColumn="0" w:oddVBand="0" w:evenVBand="0" w:oddHBand="1" w:evenHBand="0" w:firstRowFirstColumn="0" w:firstRowLastColumn="0" w:lastRowFirstColumn="0" w:lastRowLastColumn="0"/>
            </w:pPr>
            <w:r>
              <w:t>Voir ci-dessous</w:t>
            </w:r>
          </w:p>
        </w:tc>
      </w:tr>
      <w:tr w:rsidR="00047ED7" w14:paraId="32301A15"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085C6392" w14:textId="77777777" w:rsidR="00047ED7" w:rsidRPr="007E7992" w:rsidRDefault="005F7FE7" w:rsidP="00047ED7">
            <w:pPr>
              <w:rPr>
                <w:b w:val="0"/>
              </w:rPr>
            </w:pPr>
            <w:r>
              <w:rPr>
                <w:b w:val="0"/>
              </w:rPr>
              <w:t>M23</w:t>
            </w:r>
            <w:r w:rsidR="00047ED7">
              <w:rPr>
                <w:b w:val="0"/>
              </w:rPr>
              <w:t>b</w:t>
            </w:r>
            <w:r w:rsidR="00047ED7" w:rsidRPr="007E7992">
              <w:rPr>
                <w:b w:val="0"/>
              </w:rPr>
              <w:t>. Réno. ECS avec SER</w:t>
            </w:r>
          </w:p>
        </w:tc>
        <w:tc>
          <w:tcPr>
            <w:tcW w:w="1982" w:type="dxa"/>
          </w:tcPr>
          <w:p w14:paraId="5B649927" w14:textId="77777777" w:rsidR="00047ED7" w:rsidRDefault="00311318" w:rsidP="00047ED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30 000 kWh</w:t>
            </w:r>
          </w:p>
        </w:tc>
        <w:tc>
          <w:tcPr>
            <w:tcW w:w="1149" w:type="dxa"/>
          </w:tcPr>
          <w:p w14:paraId="3D544117" w14:textId="77777777" w:rsidR="00047ED7" w:rsidRDefault="00047ED7" w:rsidP="00047ED7">
            <w:pPr>
              <w:jc w:val="center"/>
              <w:cnfStyle w:val="000000000000" w:firstRow="0" w:lastRow="0" w:firstColumn="0" w:lastColumn="0" w:oddVBand="0" w:evenVBand="0" w:oddHBand="0" w:evenHBand="0" w:firstRowFirstColumn="0" w:firstRowLastColumn="0" w:lastRowFirstColumn="0" w:lastRowLastColumn="0"/>
            </w:pPr>
            <w:r>
              <w:t>3</w:t>
            </w:r>
          </w:p>
        </w:tc>
        <w:tc>
          <w:tcPr>
            <w:tcW w:w="3818" w:type="dxa"/>
          </w:tcPr>
          <w:p w14:paraId="6451D39D" w14:textId="77777777" w:rsidR="00047ED7" w:rsidRDefault="005A7C49" w:rsidP="00047ED7">
            <w:pPr>
              <w:jc w:val="center"/>
              <w:cnfStyle w:val="000000000000" w:firstRow="0" w:lastRow="0" w:firstColumn="0" w:lastColumn="0" w:oddVBand="0" w:evenVBand="0" w:oddHBand="0" w:evenHBand="0" w:firstRowFirstColumn="0" w:firstRowLastColumn="0" w:lastRowFirstColumn="0" w:lastRowLastColumn="0"/>
            </w:pPr>
            <w:r>
              <w:t>Voir ci-dessous</w:t>
            </w:r>
          </w:p>
        </w:tc>
      </w:tr>
      <w:tr w:rsidR="00047ED7" w14:paraId="0CED41CC"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7A656E9E" w14:textId="77777777" w:rsidR="00047ED7" w:rsidRPr="007E7992" w:rsidRDefault="005F7FE7" w:rsidP="00047ED7">
            <w:pPr>
              <w:rPr>
                <w:b w:val="0"/>
              </w:rPr>
            </w:pPr>
            <w:r>
              <w:rPr>
                <w:b w:val="0"/>
              </w:rPr>
              <w:t>M24</w:t>
            </w:r>
            <w:r w:rsidR="00047ED7" w:rsidRPr="007E7992">
              <w:rPr>
                <w:b w:val="0"/>
              </w:rPr>
              <w:t xml:space="preserve">. </w:t>
            </w:r>
            <w:r w:rsidR="00047ED7">
              <w:rPr>
                <w:b w:val="0"/>
              </w:rPr>
              <w:t xml:space="preserve">  </w:t>
            </w:r>
            <w:r w:rsidR="00047ED7" w:rsidRPr="007E7992">
              <w:rPr>
                <w:b w:val="0"/>
              </w:rPr>
              <w:t>Amener eau où utile</w:t>
            </w:r>
          </w:p>
        </w:tc>
        <w:tc>
          <w:tcPr>
            <w:tcW w:w="1982" w:type="dxa"/>
          </w:tcPr>
          <w:p w14:paraId="20519F2F" w14:textId="77777777" w:rsidR="00047ED7" w:rsidRDefault="00047ED7" w:rsidP="00047ED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30 000 kWh</w:t>
            </w:r>
          </w:p>
        </w:tc>
        <w:tc>
          <w:tcPr>
            <w:tcW w:w="1149" w:type="dxa"/>
          </w:tcPr>
          <w:p w14:paraId="7654843F" w14:textId="77777777" w:rsidR="00047ED7" w:rsidRDefault="00047ED7" w:rsidP="00047ED7">
            <w:pPr>
              <w:jc w:val="center"/>
              <w:cnfStyle w:val="000000100000" w:firstRow="0" w:lastRow="0" w:firstColumn="0" w:lastColumn="0" w:oddVBand="0" w:evenVBand="0" w:oddHBand="1" w:evenHBand="0" w:firstRowFirstColumn="0" w:firstRowLastColumn="0" w:lastRowFirstColumn="0" w:lastRowLastColumn="0"/>
            </w:pPr>
            <w:r>
              <w:t>3</w:t>
            </w:r>
          </w:p>
        </w:tc>
        <w:tc>
          <w:tcPr>
            <w:tcW w:w="3818" w:type="dxa"/>
          </w:tcPr>
          <w:p w14:paraId="23624B3E" w14:textId="77777777" w:rsidR="00047ED7" w:rsidRDefault="00047ED7" w:rsidP="00047ED7">
            <w:pPr>
              <w:jc w:val="center"/>
              <w:cnfStyle w:val="000000100000" w:firstRow="0" w:lastRow="0" w:firstColumn="0" w:lastColumn="0" w:oddVBand="0" w:evenVBand="0" w:oddHBand="1" w:evenHBand="0" w:firstRowFirstColumn="0" w:firstRowLastColumn="0" w:lastRowFirstColumn="0" w:lastRowLastColumn="0"/>
            </w:pPr>
            <w:r>
              <w:t>Voir ci-dessous</w:t>
            </w:r>
          </w:p>
        </w:tc>
      </w:tr>
      <w:tr w:rsidR="00047ED7" w14:paraId="1D5A2805"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0501F266" w14:textId="77777777" w:rsidR="00047ED7" w:rsidRPr="007E7992" w:rsidRDefault="005F7FE7" w:rsidP="00047ED7">
            <w:pPr>
              <w:rPr>
                <w:b w:val="0"/>
              </w:rPr>
            </w:pPr>
            <w:r>
              <w:rPr>
                <w:b w:val="0"/>
              </w:rPr>
              <w:t>M25</w:t>
            </w:r>
            <w:r w:rsidR="00047ED7" w:rsidRPr="007E7992">
              <w:rPr>
                <w:b w:val="0"/>
              </w:rPr>
              <w:t xml:space="preserve">. </w:t>
            </w:r>
            <w:r w:rsidR="00047ED7">
              <w:rPr>
                <w:b w:val="0"/>
              </w:rPr>
              <w:t xml:space="preserve">  </w:t>
            </w:r>
            <w:r w:rsidR="00047ED7" w:rsidRPr="007E7992">
              <w:rPr>
                <w:b w:val="0"/>
              </w:rPr>
              <w:t>Limiter les débits</w:t>
            </w:r>
          </w:p>
        </w:tc>
        <w:tc>
          <w:tcPr>
            <w:tcW w:w="1982" w:type="dxa"/>
          </w:tcPr>
          <w:p w14:paraId="36BCEAE1" w14:textId="77777777" w:rsidR="00047ED7" w:rsidRDefault="00047ED7" w:rsidP="00047ED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90 000 kWh</w:t>
            </w:r>
          </w:p>
        </w:tc>
        <w:tc>
          <w:tcPr>
            <w:tcW w:w="1149" w:type="dxa"/>
          </w:tcPr>
          <w:p w14:paraId="088B7995" w14:textId="77777777" w:rsidR="00047ED7" w:rsidRDefault="00047ED7" w:rsidP="00047ED7">
            <w:pPr>
              <w:jc w:val="center"/>
              <w:cnfStyle w:val="000000000000" w:firstRow="0" w:lastRow="0" w:firstColumn="0" w:lastColumn="0" w:oddVBand="0" w:evenVBand="0" w:oddHBand="0" w:evenHBand="0" w:firstRowFirstColumn="0" w:firstRowLastColumn="0" w:lastRowFirstColumn="0" w:lastRowLastColumn="0"/>
            </w:pPr>
            <w:r>
              <w:t>4</w:t>
            </w:r>
          </w:p>
        </w:tc>
        <w:tc>
          <w:tcPr>
            <w:tcW w:w="3818" w:type="dxa"/>
          </w:tcPr>
          <w:p w14:paraId="69C3F350" w14:textId="77777777" w:rsidR="00047ED7" w:rsidRDefault="00047ED7" w:rsidP="00047ED7">
            <w:pPr>
              <w:jc w:val="center"/>
              <w:cnfStyle w:val="000000000000" w:firstRow="0" w:lastRow="0" w:firstColumn="0" w:lastColumn="0" w:oddVBand="0" w:evenVBand="0" w:oddHBand="0" w:evenHBand="0" w:firstRowFirstColumn="0" w:firstRowLastColumn="0" w:lastRowFirstColumn="0" w:lastRowLastColumn="0"/>
            </w:pPr>
            <w:r>
              <w:t>Voir ci-dessous</w:t>
            </w:r>
          </w:p>
        </w:tc>
      </w:tr>
      <w:tr w:rsidR="00047ED7" w14:paraId="5FAE903A"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26BE0722" w14:textId="77777777" w:rsidR="00047ED7" w:rsidRPr="007E7992" w:rsidRDefault="005F7FE7" w:rsidP="00047ED7">
            <w:pPr>
              <w:rPr>
                <w:b w:val="0"/>
              </w:rPr>
            </w:pPr>
            <w:r>
              <w:rPr>
                <w:b w:val="0"/>
              </w:rPr>
              <w:t>M26</w:t>
            </w:r>
            <w:r w:rsidR="00047ED7" w:rsidRPr="007E7992">
              <w:rPr>
                <w:b w:val="0"/>
              </w:rPr>
              <w:t xml:space="preserve">. </w:t>
            </w:r>
            <w:r w:rsidR="00047ED7">
              <w:rPr>
                <w:b w:val="0"/>
              </w:rPr>
              <w:t xml:space="preserve">  </w:t>
            </w:r>
            <w:r w:rsidR="00047ED7" w:rsidRPr="007E7992">
              <w:rPr>
                <w:b w:val="0"/>
              </w:rPr>
              <w:t>Limiter t de puisage</w:t>
            </w:r>
          </w:p>
        </w:tc>
        <w:tc>
          <w:tcPr>
            <w:tcW w:w="1982" w:type="dxa"/>
          </w:tcPr>
          <w:p w14:paraId="6324697C" w14:textId="77777777" w:rsidR="00047ED7" w:rsidRDefault="00047ED7" w:rsidP="00047ED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30 000 kWh</w:t>
            </w:r>
          </w:p>
        </w:tc>
        <w:tc>
          <w:tcPr>
            <w:tcW w:w="1149" w:type="dxa"/>
          </w:tcPr>
          <w:p w14:paraId="06EF947D" w14:textId="77777777" w:rsidR="00047ED7" w:rsidRDefault="00047ED7" w:rsidP="00047ED7">
            <w:pPr>
              <w:jc w:val="center"/>
              <w:cnfStyle w:val="000000100000" w:firstRow="0" w:lastRow="0" w:firstColumn="0" w:lastColumn="0" w:oddVBand="0" w:evenVBand="0" w:oddHBand="1" w:evenHBand="0" w:firstRowFirstColumn="0" w:firstRowLastColumn="0" w:lastRowFirstColumn="0" w:lastRowLastColumn="0"/>
            </w:pPr>
            <w:r>
              <w:t>3</w:t>
            </w:r>
          </w:p>
        </w:tc>
        <w:tc>
          <w:tcPr>
            <w:tcW w:w="3818" w:type="dxa"/>
          </w:tcPr>
          <w:p w14:paraId="30203C1A" w14:textId="77777777" w:rsidR="00047ED7" w:rsidRDefault="00047ED7" w:rsidP="00047ED7">
            <w:pPr>
              <w:jc w:val="center"/>
              <w:cnfStyle w:val="000000100000" w:firstRow="0" w:lastRow="0" w:firstColumn="0" w:lastColumn="0" w:oddVBand="0" w:evenVBand="0" w:oddHBand="1" w:evenHBand="0" w:firstRowFirstColumn="0" w:firstRowLastColumn="0" w:lastRowFirstColumn="0" w:lastRowLastColumn="0"/>
            </w:pPr>
            <w:r>
              <w:t>Voir ci-dessous</w:t>
            </w:r>
          </w:p>
        </w:tc>
      </w:tr>
      <w:tr w:rsidR="00047ED7" w14:paraId="7F37C369"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46DFF8A8" w14:textId="77777777" w:rsidR="00047ED7" w:rsidRPr="007E7992" w:rsidRDefault="005F7FE7" w:rsidP="00047ED7">
            <w:pPr>
              <w:rPr>
                <w:b w:val="0"/>
              </w:rPr>
            </w:pPr>
            <w:r>
              <w:rPr>
                <w:b w:val="0"/>
              </w:rPr>
              <w:t>M27</w:t>
            </w:r>
            <w:r w:rsidR="00047ED7" w:rsidRPr="007E7992">
              <w:rPr>
                <w:b w:val="0"/>
              </w:rPr>
              <w:t xml:space="preserve">. </w:t>
            </w:r>
            <w:r w:rsidR="00047ED7">
              <w:rPr>
                <w:b w:val="0"/>
              </w:rPr>
              <w:t xml:space="preserve">  </w:t>
            </w:r>
            <w:r w:rsidR="00047ED7" w:rsidRPr="007E7992">
              <w:rPr>
                <w:b w:val="0"/>
              </w:rPr>
              <w:t xml:space="preserve">Isoler </w:t>
            </w:r>
            <w:proofErr w:type="spellStart"/>
            <w:r w:rsidR="00047ED7" w:rsidRPr="007E7992">
              <w:rPr>
                <w:b w:val="0"/>
              </w:rPr>
              <w:t>distr.ECS</w:t>
            </w:r>
            <w:proofErr w:type="spellEnd"/>
          </w:p>
        </w:tc>
        <w:tc>
          <w:tcPr>
            <w:tcW w:w="1982" w:type="dxa"/>
          </w:tcPr>
          <w:p w14:paraId="19531AFA" w14:textId="77777777" w:rsidR="00047ED7" w:rsidRDefault="00047ED7" w:rsidP="00047ED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18 000 kWh</w:t>
            </w:r>
          </w:p>
        </w:tc>
        <w:tc>
          <w:tcPr>
            <w:tcW w:w="1149" w:type="dxa"/>
          </w:tcPr>
          <w:p w14:paraId="243EA969" w14:textId="77777777" w:rsidR="00047ED7" w:rsidRDefault="00047ED7" w:rsidP="00047ED7">
            <w:pPr>
              <w:jc w:val="center"/>
              <w:cnfStyle w:val="000000000000" w:firstRow="0" w:lastRow="0" w:firstColumn="0" w:lastColumn="0" w:oddVBand="0" w:evenVBand="0" w:oddHBand="0" w:evenHBand="0" w:firstRowFirstColumn="0" w:firstRowLastColumn="0" w:lastRowFirstColumn="0" w:lastRowLastColumn="0"/>
            </w:pPr>
            <w:r>
              <w:t>2</w:t>
            </w:r>
          </w:p>
        </w:tc>
        <w:tc>
          <w:tcPr>
            <w:tcW w:w="3818" w:type="dxa"/>
          </w:tcPr>
          <w:p w14:paraId="12F5EAA7" w14:textId="77777777" w:rsidR="00047ED7" w:rsidRDefault="00047ED7" w:rsidP="00047ED7">
            <w:pPr>
              <w:jc w:val="center"/>
              <w:cnfStyle w:val="000000000000" w:firstRow="0" w:lastRow="0" w:firstColumn="0" w:lastColumn="0" w:oddVBand="0" w:evenVBand="0" w:oddHBand="0" w:evenHBand="0" w:firstRowFirstColumn="0" w:firstRowLastColumn="0" w:lastRowFirstColumn="0" w:lastRowLastColumn="0"/>
            </w:pPr>
            <w:r>
              <w:t>Voir ci-dessous</w:t>
            </w:r>
          </w:p>
        </w:tc>
      </w:tr>
      <w:tr w:rsidR="00047ED7" w14:paraId="4A51F976"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19507C92" w14:textId="77777777" w:rsidR="00047ED7" w:rsidRPr="007E7992" w:rsidRDefault="005F7FE7" w:rsidP="00047ED7">
            <w:pPr>
              <w:rPr>
                <w:b w:val="0"/>
              </w:rPr>
            </w:pPr>
            <w:r>
              <w:rPr>
                <w:b w:val="0"/>
              </w:rPr>
              <w:t>M28</w:t>
            </w:r>
            <w:r w:rsidR="00047ED7" w:rsidRPr="007E7992">
              <w:rPr>
                <w:b w:val="0"/>
              </w:rPr>
              <w:t xml:space="preserve">. </w:t>
            </w:r>
            <w:r w:rsidR="00047ED7">
              <w:rPr>
                <w:b w:val="0"/>
              </w:rPr>
              <w:t xml:space="preserve">  </w:t>
            </w:r>
            <w:proofErr w:type="spellStart"/>
            <w:r w:rsidR="00047ED7" w:rsidRPr="007E7992">
              <w:rPr>
                <w:b w:val="0"/>
              </w:rPr>
              <w:t>Relighting</w:t>
            </w:r>
            <w:proofErr w:type="spellEnd"/>
          </w:p>
        </w:tc>
        <w:tc>
          <w:tcPr>
            <w:tcW w:w="1982" w:type="dxa"/>
          </w:tcPr>
          <w:p w14:paraId="3FC7B665" w14:textId="77777777" w:rsidR="00047ED7" w:rsidRDefault="00047ED7" w:rsidP="00047ED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150 000 kWh</w:t>
            </w:r>
          </w:p>
        </w:tc>
        <w:tc>
          <w:tcPr>
            <w:tcW w:w="1149" w:type="dxa"/>
          </w:tcPr>
          <w:p w14:paraId="6BAD13DC" w14:textId="77777777" w:rsidR="00047ED7" w:rsidRDefault="00047ED7" w:rsidP="00047ED7">
            <w:pPr>
              <w:jc w:val="center"/>
              <w:cnfStyle w:val="000000100000" w:firstRow="0" w:lastRow="0" w:firstColumn="0" w:lastColumn="0" w:oddVBand="0" w:evenVBand="0" w:oddHBand="1" w:evenHBand="0" w:firstRowFirstColumn="0" w:firstRowLastColumn="0" w:lastRowFirstColumn="0" w:lastRowLastColumn="0"/>
            </w:pPr>
            <w:r>
              <w:t>5</w:t>
            </w:r>
          </w:p>
        </w:tc>
        <w:tc>
          <w:tcPr>
            <w:tcW w:w="3818" w:type="dxa"/>
          </w:tcPr>
          <w:p w14:paraId="69DFD096" w14:textId="77777777" w:rsidR="00047ED7" w:rsidRDefault="00047ED7" w:rsidP="00047ED7">
            <w:pPr>
              <w:jc w:val="center"/>
              <w:cnfStyle w:val="000000100000" w:firstRow="0" w:lastRow="0" w:firstColumn="0" w:lastColumn="0" w:oddVBand="0" w:evenVBand="0" w:oddHBand="1" w:evenHBand="0" w:firstRowFirstColumn="0" w:firstRowLastColumn="0" w:lastRowFirstColumn="0" w:lastRowLastColumn="0"/>
            </w:pPr>
            <w:r>
              <w:t>Voir TFE</w:t>
            </w:r>
          </w:p>
        </w:tc>
      </w:tr>
      <w:tr w:rsidR="00047ED7" w14:paraId="56467750"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45DBFE15" w14:textId="77777777" w:rsidR="00047ED7" w:rsidRPr="007E7992" w:rsidRDefault="005F7FE7" w:rsidP="00047ED7">
            <w:pPr>
              <w:rPr>
                <w:b w:val="0"/>
              </w:rPr>
            </w:pPr>
            <w:r>
              <w:rPr>
                <w:b w:val="0"/>
              </w:rPr>
              <w:t>M28</w:t>
            </w:r>
            <w:r w:rsidR="00047ED7">
              <w:rPr>
                <w:b w:val="0"/>
              </w:rPr>
              <w:t>b</w:t>
            </w:r>
            <w:r w:rsidR="00047ED7" w:rsidRPr="007E7992">
              <w:rPr>
                <w:b w:val="0"/>
              </w:rPr>
              <w:t xml:space="preserve">. </w:t>
            </w:r>
            <w:proofErr w:type="spellStart"/>
            <w:r w:rsidR="00047ED7" w:rsidRPr="007E7992">
              <w:rPr>
                <w:b w:val="0"/>
              </w:rPr>
              <w:t>Laas</w:t>
            </w:r>
            <w:proofErr w:type="spellEnd"/>
          </w:p>
        </w:tc>
        <w:tc>
          <w:tcPr>
            <w:tcW w:w="1982" w:type="dxa"/>
          </w:tcPr>
          <w:p w14:paraId="23AF39C8" w14:textId="77777777" w:rsidR="00047ED7" w:rsidRDefault="00047ED7" w:rsidP="00047ED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150 000 kWh</w:t>
            </w:r>
          </w:p>
        </w:tc>
        <w:tc>
          <w:tcPr>
            <w:tcW w:w="1149" w:type="dxa"/>
          </w:tcPr>
          <w:p w14:paraId="14487272" w14:textId="77777777" w:rsidR="00047ED7" w:rsidRDefault="00047ED7" w:rsidP="00047ED7">
            <w:pPr>
              <w:jc w:val="center"/>
              <w:cnfStyle w:val="000000000000" w:firstRow="0" w:lastRow="0" w:firstColumn="0" w:lastColumn="0" w:oddVBand="0" w:evenVBand="0" w:oddHBand="0" w:evenHBand="0" w:firstRowFirstColumn="0" w:firstRowLastColumn="0" w:lastRowFirstColumn="0" w:lastRowLastColumn="0"/>
            </w:pPr>
            <w:r>
              <w:t>5</w:t>
            </w:r>
          </w:p>
        </w:tc>
        <w:tc>
          <w:tcPr>
            <w:tcW w:w="3818" w:type="dxa"/>
          </w:tcPr>
          <w:p w14:paraId="3A5B2926" w14:textId="77777777" w:rsidR="00047ED7" w:rsidRDefault="00047ED7" w:rsidP="00047ED7">
            <w:pPr>
              <w:jc w:val="center"/>
              <w:cnfStyle w:val="000000000000" w:firstRow="0" w:lastRow="0" w:firstColumn="0" w:lastColumn="0" w:oddVBand="0" w:evenVBand="0" w:oddHBand="0" w:evenHBand="0" w:firstRowFirstColumn="0" w:firstRowLastColumn="0" w:lastRowFirstColumn="0" w:lastRowLastColumn="0"/>
            </w:pPr>
            <w:r>
              <w:t>Voir TFE</w:t>
            </w:r>
          </w:p>
        </w:tc>
      </w:tr>
      <w:tr w:rsidR="005F7FE7" w14:paraId="17FEAC6F"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685C101A" w14:textId="77777777" w:rsidR="005F7FE7" w:rsidRDefault="005F7FE7" w:rsidP="00047ED7">
            <w:pPr>
              <w:rPr>
                <w:b w:val="0"/>
              </w:rPr>
            </w:pPr>
            <w:r>
              <w:rPr>
                <w:b w:val="0"/>
              </w:rPr>
              <w:t>M29.</w:t>
            </w:r>
            <w:r w:rsidR="004C5ACC">
              <w:rPr>
                <w:b w:val="0"/>
              </w:rPr>
              <w:t xml:space="preserve">   Électricité verte</w:t>
            </w:r>
          </w:p>
        </w:tc>
        <w:tc>
          <w:tcPr>
            <w:tcW w:w="1982" w:type="dxa"/>
          </w:tcPr>
          <w:p w14:paraId="2EE29FB2" w14:textId="77777777" w:rsidR="005F7FE7" w:rsidRDefault="001E41AE" w:rsidP="00047ED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149" w:type="dxa"/>
          </w:tcPr>
          <w:p w14:paraId="471538DE" w14:textId="77777777" w:rsidR="005F7FE7" w:rsidRDefault="001E41AE" w:rsidP="00047ED7">
            <w:pPr>
              <w:jc w:val="center"/>
              <w:cnfStyle w:val="000000100000" w:firstRow="0" w:lastRow="0" w:firstColumn="0" w:lastColumn="0" w:oddVBand="0" w:evenVBand="0" w:oddHBand="1" w:evenHBand="0" w:firstRowFirstColumn="0" w:firstRowLastColumn="0" w:lastRowFirstColumn="0" w:lastRowLastColumn="0"/>
            </w:pPr>
            <w:r w:rsidRPr="001E41AE">
              <w:rPr>
                <w:color w:val="00B050"/>
              </w:rPr>
              <w:t>5</w:t>
            </w:r>
          </w:p>
        </w:tc>
        <w:tc>
          <w:tcPr>
            <w:tcW w:w="3818" w:type="dxa"/>
          </w:tcPr>
          <w:p w14:paraId="14338840" w14:textId="77777777" w:rsidR="005F7FE7" w:rsidRDefault="001E41AE" w:rsidP="00047ED7">
            <w:pPr>
              <w:jc w:val="center"/>
              <w:cnfStyle w:val="000000100000" w:firstRow="0" w:lastRow="0" w:firstColumn="0" w:lastColumn="0" w:oddVBand="0" w:evenVBand="0" w:oddHBand="1" w:evenHBand="0" w:firstRowFirstColumn="0" w:firstRowLastColumn="0" w:lastRowFirstColumn="0" w:lastRowLastColumn="0"/>
            </w:pPr>
            <w:r>
              <w:t>/</w:t>
            </w:r>
          </w:p>
        </w:tc>
      </w:tr>
      <w:tr w:rsidR="0002627B" w14:paraId="12462611"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2029E61C" w14:textId="77777777" w:rsidR="0002627B" w:rsidRPr="0002627B" w:rsidRDefault="005F7FE7" w:rsidP="00047ED7">
            <w:pPr>
              <w:rPr>
                <w:b w:val="0"/>
              </w:rPr>
            </w:pPr>
            <w:r>
              <w:rPr>
                <w:b w:val="0"/>
              </w:rPr>
              <w:t>M30</w:t>
            </w:r>
            <w:r w:rsidR="0002627B">
              <w:rPr>
                <w:b w:val="0"/>
              </w:rPr>
              <w:t>.   Protections solaires</w:t>
            </w:r>
          </w:p>
        </w:tc>
        <w:tc>
          <w:tcPr>
            <w:tcW w:w="1982" w:type="dxa"/>
          </w:tcPr>
          <w:p w14:paraId="026D741A" w14:textId="77777777" w:rsidR="0002627B" w:rsidRDefault="009331AF" w:rsidP="00047ED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149" w:type="dxa"/>
          </w:tcPr>
          <w:p w14:paraId="3C0BB833" w14:textId="77777777" w:rsidR="0002627B" w:rsidRPr="007444D6" w:rsidRDefault="00F502B1" w:rsidP="00047ED7">
            <w:pPr>
              <w:jc w:val="center"/>
              <w:cnfStyle w:val="000000000000" w:firstRow="0" w:lastRow="0" w:firstColumn="0" w:lastColumn="0" w:oddVBand="0" w:evenVBand="0" w:oddHBand="0" w:evenHBand="0" w:firstRowFirstColumn="0" w:firstRowLastColumn="0" w:lastRowFirstColumn="0" w:lastRowLastColumn="0"/>
              <w:rPr>
                <w:color w:val="00B050"/>
              </w:rPr>
            </w:pPr>
            <w:r w:rsidRPr="007444D6">
              <w:rPr>
                <w:color w:val="00B050"/>
              </w:rPr>
              <w:t>3</w:t>
            </w:r>
          </w:p>
        </w:tc>
        <w:tc>
          <w:tcPr>
            <w:tcW w:w="3818" w:type="dxa"/>
          </w:tcPr>
          <w:p w14:paraId="28A6638F" w14:textId="77777777" w:rsidR="0002627B" w:rsidRDefault="002223F8" w:rsidP="00047ED7">
            <w:pPr>
              <w:jc w:val="center"/>
              <w:cnfStyle w:val="000000000000" w:firstRow="0" w:lastRow="0" w:firstColumn="0" w:lastColumn="0" w:oddVBand="0" w:evenVBand="0" w:oddHBand="0" w:evenHBand="0" w:firstRowFirstColumn="0" w:firstRowLastColumn="0" w:lastRowFirstColumn="0" w:lastRowLastColumn="0"/>
            </w:pPr>
            <w:r>
              <w:t>/</w:t>
            </w:r>
          </w:p>
        </w:tc>
      </w:tr>
      <w:tr w:rsidR="0002627B" w14:paraId="01FA2EE4"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282F07BC" w14:textId="77777777" w:rsidR="0002627B" w:rsidRPr="0002627B" w:rsidRDefault="005F7FE7" w:rsidP="00047ED7">
            <w:pPr>
              <w:rPr>
                <w:b w:val="0"/>
              </w:rPr>
            </w:pPr>
            <w:r>
              <w:rPr>
                <w:b w:val="0"/>
              </w:rPr>
              <w:t>M31</w:t>
            </w:r>
            <w:r w:rsidR="0002627B">
              <w:rPr>
                <w:b w:val="0"/>
              </w:rPr>
              <w:t xml:space="preserve">.   </w:t>
            </w:r>
            <w:proofErr w:type="spellStart"/>
            <w:r w:rsidR="0002627B">
              <w:rPr>
                <w:b w:val="0"/>
              </w:rPr>
              <w:t>Refr</w:t>
            </w:r>
            <w:proofErr w:type="spellEnd"/>
            <w:r w:rsidR="0002627B">
              <w:rPr>
                <w:b w:val="0"/>
              </w:rPr>
              <w:t>. naturel</w:t>
            </w:r>
          </w:p>
        </w:tc>
        <w:tc>
          <w:tcPr>
            <w:tcW w:w="1982" w:type="dxa"/>
          </w:tcPr>
          <w:p w14:paraId="2F487B8F" w14:textId="77777777" w:rsidR="0002627B" w:rsidRPr="0002627B" w:rsidRDefault="009331AF" w:rsidP="00047ED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149" w:type="dxa"/>
          </w:tcPr>
          <w:p w14:paraId="0AB8E2A3" w14:textId="77777777" w:rsidR="0002627B" w:rsidRPr="007444D6" w:rsidRDefault="00F502B1" w:rsidP="00047ED7">
            <w:pPr>
              <w:jc w:val="center"/>
              <w:cnfStyle w:val="000000100000" w:firstRow="0" w:lastRow="0" w:firstColumn="0" w:lastColumn="0" w:oddVBand="0" w:evenVBand="0" w:oddHBand="1" w:evenHBand="0" w:firstRowFirstColumn="0" w:firstRowLastColumn="0" w:lastRowFirstColumn="0" w:lastRowLastColumn="0"/>
              <w:rPr>
                <w:color w:val="00B050"/>
              </w:rPr>
            </w:pPr>
            <w:r w:rsidRPr="007444D6">
              <w:rPr>
                <w:color w:val="00B050"/>
              </w:rPr>
              <w:t>3</w:t>
            </w:r>
          </w:p>
        </w:tc>
        <w:tc>
          <w:tcPr>
            <w:tcW w:w="3818" w:type="dxa"/>
          </w:tcPr>
          <w:p w14:paraId="71DB37D7" w14:textId="77777777" w:rsidR="0002627B" w:rsidRPr="0002627B" w:rsidRDefault="002223F8" w:rsidP="00047ED7">
            <w:pPr>
              <w:jc w:val="center"/>
              <w:cnfStyle w:val="000000100000" w:firstRow="0" w:lastRow="0" w:firstColumn="0" w:lastColumn="0" w:oddVBand="0" w:evenVBand="0" w:oddHBand="1" w:evenHBand="0" w:firstRowFirstColumn="0" w:firstRowLastColumn="0" w:lastRowFirstColumn="0" w:lastRowLastColumn="0"/>
            </w:pPr>
            <w:r>
              <w:t>/</w:t>
            </w:r>
          </w:p>
        </w:tc>
      </w:tr>
      <w:tr w:rsidR="0002627B" w14:paraId="5B8373FC"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75E59700" w14:textId="77777777" w:rsidR="0002627B" w:rsidRPr="0002627B" w:rsidRDefault="005F7FE7" w:rsidP="00047ED7">
            <w:pPr>
              <w:rPr>
                <w:b w:val="0"/>
              </w:rPr>
            </w:pPr>
            <w:r>
              <w:rPr>
                <w:b w:val="0"/>
              </w:rPr>
              <w:t>M32</w:t>
            </w:r>
            <w:r w:rsidR="0002627B">
              <w:rPr>
                <w:b w:val="0"/>
              </w:rPr>
              <w:t>.   AC : Réguler débit</w:t>
            </w:r>
          </w:p>
        </w:tc>
        <w:tc>
          <w:tcPr>
            <w:tcW w:w="1982" w:type="dxa"/>
          </w:tcPr>
          <w:p w14:paraId="03DEC15C" w14:textId="77777777" w:rsidR="0002627B" w:rsidRPr="0002627B" w:rsidRDefault="002D13B5" w:rsidP="00047ED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25 000 kWh</w:t>
            </w:r>
          </w:p>
        </w:tc>
        <w:tc>
          <w:tcPr>
            <w:tcW w:w="1149" w:type="dxa"/>
          </w:tcPr>
          <w:p w14:paraId="13AC8F43" w14:textId="77777777" w:rsidR="0002627B" w:rsidRPr="00F502B1" w:rsidRDefault="0002627B" w:rsidP="00047ED7">
            <w:pPr>
              <w:jc w:val="center"/>
              <w:cnfStyle w:val="000000000000" w:firstRow="0" w:lastRow="0" w:firstColumn="0" w:lastColumn="0" w:oddVBand="0" w:evenVBand="0" w:oddHBand="0" w:evenHBand="0" w:firstRowFirstColumn="0" w:firstRowLastColumn="0" w:lastRowFirstColumn="0" w:lastRowLastColumn="0"/>
            </w:pPr>
            <w:r w:rsidRPr="00F502B1">
              <w:t>3</w:t>
            </w:r>
          </w:p>
        </w:tc>
        <w:tc>
          <w:tcPr>
            <w:tcW w:w="3818" w:type="dxa"/>
          </w:tcPr>
          <w:p w14:paraId="5E00B097" w14:textId="77777777" w:rsidR="0002627B" w:rsidRPr="0002627B" w:rsidRDefault="002223F8" w:rsidP="00047ED7">
            <w:pPr>
              <w:jc w:val="center"/>
              <w:cnfStyle w:val="000000000000" w:firstRow="0" w:lastRow="0" w:firstColumn="0" w:lastColumn="0" w:oddVBand="0" w:evenVBand="0" w:oddHBand="0" w:evenHBand="0" w:firstRowFirstColumn="0" w:firstRowLastColumn="0" w:lastRowFirstColumn="0" w:lastRowLastColumn="0"/>
            </w:pPr>
            <w:r>
              <w:t>Voir ci-dessous</w:t>
            </w:r>
          </w:p>
        </w:tc>
      </w:tr>
      <w:tr w:rsidR="0002627B" w14:paraId="60E4DC31"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5D05704C" w14:textId="77777777" w:rsidR="0002627B" w:rsidRPr="0002627B" w:rsidRDefault="005F7FE7" w:rsidP="00047ED7">
            <w:pPr>
              <w:rPr>
                <w:b w:val="0"/>
              </w:rPr>
            </w:pPr>
            <w:r>
              <w:rPr>
                <w:b w:val="0"/>
              </w:rPr>
              <w:t>M33</w:t>
            </w:r>
            <w:r w:rsidR="0002627B">
              <w:rPr>
                <w:b w:val="0"/>
              </w:rPr>
              <w:t>.   AC : plage d’hum.</w:t>
            </w:r>
          </w:p>
        </w:tc>
        <w:tc>
          <w:tcPr>
            <w:tcW w:w="1982" w:type="dxa"/>
          </w:tcPr>
          <w:p w14:paraId="34B20713" w14:textId="77777777" w:rsidR="0002627B" w:rsidRPr="0002627B" w:rsidRDefault="002D13B5" w:rsidP="00047ED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25 000 kWh</w:t>
            </w:r>
          </w:p>
        </w:tc>
        <w:tc>
          <w:tcPr>
            <w:tcW w:w="1149" w:type="dxa"/>
          </w:tcPr>
          <w:p w14:paraId="2CC63A39" w14:textId="77777777" w:rsidR="0002627B" w:rsidRPr="00F502B1" w:rsidRDefault="0002627B" w:rsidP="00047ED7">
            <w:pPr>
              <w:jc w:val="center"/>
              <w:cnfStyle w:val="000000100000" w:firstRow="0" w:lastRow="0" w:firstColumn="0" w:lastColumn="0" w:oddVBand="0" w:evenVBand="0" w:oddHBand="1" w:evenHBand="0" w:firstRowFirstColumn="0" w:firstRowLastColumn="0" w:lastRowFirstColumn="0" w:lastRowLastColumn="0"/>
            </w:pPr>
            <w:r w:rsidRPr="00F502B1">
              <w:t>3</w:t>
            </w:r>
          </w:p>
        </w:tc>
        <w:tc>
          <w:tcPr>
            <w:tcW w:w="3818" w:type="dxa"/>
          </w:tcPr>
          <w:p w14:paraId="4BB459C6" w14:textId="77777777" w:rsidR="0002627B" w:rsidRPr="0002627B" w:rsidRDefault="002223F8" w:rsidP="00047ED7">
            <w:pPr>
              <w:jc w:val="center"/>
              <w:cnfStyle w:val="000000100000" w:firstRow="0" w:lastRow="0" w:firstColumn="0" w:lastColumn="0" w:oddVBand="0" w:evenVBand="0" w:oddHBand="1" w:evenHBand="0" w:firstRowFirstColumn="0" w:firstRowLastColumn="0" w:lastRowFirstColumn="0" w:lastRowLastColumn="0"/>
            </w:pPr>
            <w:r>
              <w:t>Voir ci-dessous</w:t>
            </w:r>
          </w:p>
        </w:tc>
      </w:tr>
      <w:tr w:rsidR="0002627B" w14:paraId="3860209B" w14:textId="77777777" w:rsidTr="007E7992">
        <w:tc>
          <w:tcPr>
            <w:cnfStyle w:val="001000000000" w:firstRow="0" w:lastRow="0" w:firstColumn="1" w:lastColumn="0" w:oddVBand="0" w:evenVBand="0" w:oddHBand="0" w:evenHBand="0" w:firstRowFirstColumn="0" w:firstRowLastColumn="0" w:lastRowFirstColumn="0" w:lastRowLastColumn="0"/>
            <w:tcW w:w="2690" w:type="dxa"/>
          </w:tcPr>
          <w:p w14:paraId="46E026C8" w14:textId="77777777" w:rsidR="0002627B" w:rsidRPr="0002627B" w:rsidRDefault="005F7FE7" w:rsidP="00047ED7">
            <w:pPr>
              <w:rPr>
                <w:b w:val="0"/>
              </w:rPr>
            </w:pPr>
            <w:r>
              <w:rPr>
                <w:b w:val="0"/>
              </w:rPr>
              <w:t>M34</w:t>
            </w:r>
            <w:r w:rsidR="0002627B">
              <w:rPr>
                <w:b w:val="0"/>
              </w:rPr>
              <w:t>.   AC : plage T</w:t>
            </w:r>
          </w:p>
        </w:tc>
        <w:tc>
          <w:tcPr>
            <w:tcW w:w="1982" w:type="dxa"/>
          </w:tcPr>
          <w:p w14:paraId="203C9E79" w14:textId="77777777" w:rsidR="0002627B" w:rsidRPr="0002627B" w:rsidRDefault="002D13B5" w:rsidP="00047ED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25 000 kWh</w:t>
            </w:r>
          </w:p>
        </w:tc>
        <w:tc>
          <w:tcPr>
            <w:tcW w:w="1149" w:type="dxa"/>
          </w:tcPr>
          <w:p w14:paraId="50985D4D" w14:textId="77777777" w:rsidR="0002627B" w:rsidRPr="00F502B1" w:rsidRDefault="0002627B" w:rsidP="00047ED7">
            <w:pPr>
              <w:jc w:val="center"/>
              <w:cnfStyle w:val="000000000000" w:firstRow="0" w:lastRow="0" w:firstColumn="0" w:lastColumn="0" w:oddVBand="0" w:evenVBand="0" w:oddHBand="0" w:evenHBand="0" w:firstRowFirstColumn="0" w:firstRowLastColumn="0" w:lastRowFirstColumn="0" w:lastRowLastColumn="0"/>
            </w:pPr>
            <w:r w:rsidRPr="00F502B1">
              <w:t>3</w:t>
            </w:r>
          </w:p>
        </w:tc>
        <w:tc>
          <w:tcPr>
            <w:tcW w:w="3818" w:type="dxa"/>
          </w:tcPr>
          <w:p w14:paraId="0040288C" w14:textId="77777777" w:rsidR="0002627B" w:rsidRPr="0002627B" w:rsidRDefault="002223F8" w:rsidP="00047ED7">
            <w:pPr>
              <w:jc w:val="center"/>
              <w:cnfStyle w:val="000000000000" w:firstRow="0" w:lastRow="0" w:firstColumn="0" w:lastColumn="0" w:oddVBand="0" w:evenVBand="0" w:oddHBand="0" w:evenHBand="0" w:firstRowFirstColumn="0" w:firstRowLastColumn="0" w:lastRowFirstColumn="0" w:lastRowLastColumn="0"/>
            </w:pPr>
            <w:r>
              <w:t>Voir ci-dessous</w:t>
            </w:r>
          </w:p>
        </w:tc>
      </w:tr>
      <w:tr w:rsidR="0002627B" w14:paraId="7033866D" w14:textId="77777777" w:rsidTr="007E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5ACFB86B" w14:textId="77777777" w:rsidR="0002627B" w:rsidRPr="0002627B" w:rsidRDefault="005F7FE7" w:rsidP="00047ED7">
            <w:pPr>
              <w:rPr>
                <w:b w:val="0"/>
              </w:rPr>
            </w:pPr>
            <w:r>
              <w:rPr>
                <w:b w:val="0"/>
              </w:rPr>
              <w:t>M35</w:t>
            </w:r>
            <w:r w:rsidR="0002627B">
              <w:rPr>
                <w:b w:val="0"/>
              </w:rPr>
              <w:t xml:space="preserve">.   AC : </w:t>
            </w:r>
            <w:proofErr w:type="spellStart"/>
            <w:r w:rsidR="0002627B">
              <w:rPr>
                <w:b w:val="0"/>
              </w:rPr>
              <w:t>augm</w:t>
            </w:r>
            <w:proofErr w:type="spellEnd"/>
            <w:r w:rsidR="0002627B">
              <w:rPr>
                <w:b w:val="0"/>
              </w:rPr>
              <w:t>. COP</w:t>
            </w:r>
          </w:p>
        </w:tc>
        <w:tc>
          <w:tcPr>
            <w:tcW w:w="1982" w:type="dxa"/>
          </w:tcPr>
          <w:p w14:paraId="6DE2CE7D" w14:textId="77777777" w:rsidR="0002627B" w:rsidRPr="0002627B" w:rsidRDefault="002D13B5" w:rsidP="00047ED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25 000 kWh</w:t>
            </w:r>
          </w:p>
        </w:tc>
        <w:tc>
          <w:tcPr>
            <w:tcW w:w="1149" w:type="dxa"/>
          </w:tcPr>
          <w:p w14:paraId="311887A6" w14:textId="77777777" w:rsidR="0002627B" w:rsidRPr="00F502B1" w:rsidRDefault="0002627B" w:rsidP="00047ED7">
            <w:pPr>
              <w:jc w:val="center"/>
              <w:cnfStyle w:val="000000100000" w:firstRow="0" w:lastRow="0" w:firstColumn="0" w:lastColumn="0" w:oddVBand="0" w:evenVBand="0" w:oddHBand="1" w:evenHBand="0" w:firstRowFirstColumn="0" w:firstRowLastColumn="0" w:lastRowFirstColumn="0" w:lastRowLastColumn="0"/>
            </w:pPr>
            <w:r w:rsidRPr="00F502B1">
              <w:t>3</w:t>
            </w:r>
          </w:p>
        </w:tc>
        <w:tc>
          <w:tcPr>
            <w:tcW w:w="3818" w:type="dxa"/>
          </w:tcPr>
          <w:p w14:paraId="1518B70F" w14:textId="77777777" w:rsidR="0002627B" w:rsidRPr="0002627B" w:rsidRDefault="002223F8" w:rsidP="00047ED7">
            <w:pPr>
              <w:jc w:val="center"/>
              <w:cnfStyle w:val="000000100000" w:firstRow="0" w:lastRow="0" w:firstColumn="0" w:lastColumn="0" w:oddVBand="0" w:evenVBand="0" w:oddHBand="1" w:evenHBand="0" w:firstRowFirstColumn="0" w:firstRowLastColumn="0" w:lastRowFirstColumn="0" w:lastRowLastColumn="0"/>
            </w:pPr>
            <w:r>
              <w:t>Voir ci-dessous</w:t>
            </w:r>
          </w:p>
        </w:tc>
      </w:tr>
    </w:tbl>
    <w:p w14:paraId="03B8E47C" w14:textId="77777777" w:rsidR="00A04409" w:rsidRDefault="00A04409"/>
    <w:p w14:paraId="67221747" w14:textId="77777777" w:rsidR="00152990" w:rsidRDefault="00152990" w:rsidP="00532326">
      <w:pPr>
        <w:jc w:val="both"/>
        <w:rPr>
          <w:b/>
          <w:i/>
        </w:rPr>
      </w:pPr>
      <w:r>
        <w:rPr>
          <w:b/>
          <w:i/>
        </w:rPr>
        <w:t>Enveloppe</w:t>
      </w:r>
    </w:p>
    <w:p w14:paraId="21E3DB68" w14:textId="77777777" w:rsidR="00152990" w:rsidRPr="00C744FE" w:rsidRDefault="00152990" w:rsidP="00152990">
      <w:pPr>
        <w:jc w:val="both"/>
        <w:rPr>
          <w:b/>
        </w:rPr>
      </w:pPr>
      <w:r>
        <w:rPr>
          <w:b/>
        </w:rPr>
        <w:t xml:space="preserve">- M4 </w:t>
      </w:r>
      <w:r w:rsidR="00C744FE">
        <w:rPr>
          <w:rFonts w:eastAsiaTheme="minorEastAsia"/>
        </w:rPr>
        <w:t>A</w:t>
      </w:r>
      <w:r>
        <w:rPr>
          <w:rFonts w:eastAsiaTheme="minorEastAsia"/>
        </w:rPr>
        <w:t xml:space="preserve">vec une durée de chauffage </w:t>
      </w:r>
      <m:oMath>
        <m:r>
          <w:rPr>
            <w:rFonts w:ascii="Cambria Math" w:eastAsiaTheme="minorEastAsia" w:hAnsi="Cambria Math"/>
          </w:rPr>
          <m:t>t</m:t>
        </m:r>
      </m:oMath>
      <w:r>
        <w:rPr>
          <w:rFonts w:eastAsiaTheme="minorEastAsia"/>
        </w:rPr>
        <w:t xml:space="preserve"> prise à 1 400 h/an (voir TFE), une surface de fenêtres </w:t>
      </w:r>
      <m:oMath>
        <m:r>
          <w:rPr>
            <w:rFonts w:ascii="Cambria Math" w:eastAsiaTheme="minorEastAsia" w:hAnsi="Cambria Math"/>
          </w:rPr>
          <m:t>S</m:t>
        </m:r>
      </m:oMath>
      <w:r>
        <w:rPr>
          <w:rFonts w:eastAsiaTheme="minorEastAsia"/>
        </w:rPr>
        <w:t xml:space="preserve"> de </w:t>
      </w:r>
      <w:r>
        <w:rPr>
          <w:rFonts w:eastAsiaTheme="minorEastAsia"/>
        </w:rPr>
        <w:br/>
        <w:t>2338 m</w:t>
      </w:r>
      <w:r w:rsidRPr="00532326">
        <w:rPr>
          <w:rFonts w:eastAsiaTheme="minorEastAsia"/>
          <w:vertAlign w:val="superscript"/>
        </w:rPr>
        <w:t>2</w:t>
      </w:r>
      <w:r>
        <w:rPr>
          <w:rFonts w:eastAsiaTheme="minorEastAsia"/>
        </w:rPr>
        <w:t xml:space="preserve">, une différence de température </w:t>
      </w:r>
      <m:oMath>
        <m:r>
          <w:rPr>
            <w:rFonts w:ascii="Cambria Math" w:eastAsiaTheme="minorEastAsia" w:hAnsi="Cambria Math"/>
          </w:rPr>
          <m:t>ΔT</m:t>
        </m:r>
      </m:oMath>
      <w:r>
        <w:rPr>
          <w:rFonts w:eastAsiaTheme="minorEastAsia"/>
        </w:rPr>
        <w:t xml:space="preserve"> de 9°C (voir TFE), un coefficient de transmission thermique U avant travaux de </w:t>
      </w:r>
      <w:r w:rsidR="00C744FE">
        <w:rPr>
          <w:rFonts w:eastAsiaTheme="minorEastAsia"/>
        </w:rPr>
        <w:t>4</w:t>
      </w:r>
      <w:r>
        <w:rPr>
          <w:rFonts w:eastAsiaTheme="minorEastAsia"/>
        </w:rPr>
        <w:t>,</w:t>
      </w:r>
      <w:r w:rsidR="00C744FE">
        <w:rPr>
          <w:rFonts w:eastAsiaTheme="minorEastAsia"/>
        </w:rPr>
        <w:t>8</w:t>
      </w:r>
      <w:r w:rsidRPr="00152990">
        <w:rPr>
          <w:rFonts w:eastAsiaTheme="minorEastAsia"/>
        </w:rPr>
        <w:t xml:space="preserve"> </w:t>
      </w:r>
      <w:r>
        <w:rPr>
          <w:rFonts w:eastAsiaTheme="minorEastAsia"/>
        </w:rPr>
        <w:t>W/(m</w:t>
      </w:r>
      <w:r w:rsidRPr="00532326">
        <w:rPr>
          <w:rFonts w:eastAsiaTheme="minorEastAsia"/>
          <w:vertAlign w:val="superscript"/>
        </w:rPr>
        <w:t>2</w:t>
      </w:r>
      <w:r>
        <w:rPr>
          <w:rFonts w:eastAsiaTheme="minorEastAsia"/>
        </w:rPr>
        <w:t xml:space="preserve">.K) et un U après travaux de </w:t>
      </w:r>
      <w:r w:rsidR="00C744FE">
        <w:rPr>
          <w:rFonts w:eastAsiaTheme="minorEastAsia"/>
        </w:rPr>
        <w:t>1</w:t>
      </w:r>
      <w:r>
        <w:rPr>
          <w:rFonts w:eastAsiaTheme="minorEastAsia"/>
        </w:rPr>
        <w:t>,1 W/(m</w:t>
      </w:r>
      <w:r w:rsidRPr="00532326">
        <w:rPr>
          <w:rFonts w:eastAsiaTheme="minorEastAsia"/>
          <w:vertAlign w:val="superscript"/>
        </w:rPr>
        <w:t>2</w:t>
      </w:r>
      <w:r>
        <w:rPr>
          <w:rFonts w:eastAsiaTheme="minorEastAsia"/>
        </w:rPr>
        <w:t xml:space="preserve">.K), les gains énergétiques s’élèvent à environ </w:t>
      </w:r>
      <w:r w:rsidRPr="00532326">
        <w:rPr>
          <w:rFonts w:eastAsiaTheme="minorEastAsia"/>
          <w:u w:val="single"/>
        </w:rPr>
        <w:t>1</w:t>
      </w:r>
      <w:r>
        <w:rPr>
          <w:rFonts w:eastAsiaTheme="minorEastAsia"/>
          <w:u w:val="single"/>
        </w:rPr>
        <w:t>10 0</w:t>
      </w:r>
      <w:r w:rsidRPr="00532326">
        <w:rPr>
          <w:rFonts w:eastAsiaTheme="minorEastAsia"/>
          <w:u w:val="single"/>
        </w:rPr>
        <w:t>00 kWh/an</w:t>
      </w:r>
      <w:r>
        <w:rPr>
          <w:rFonts w:eastAsiaTheme="minorEastAsia"/>
        </w:rPr>
        <w:t>.</w:t>
      </w:r>
    </w:p>
    <w:p w14:paraId="3D64EBBD" w14:textId="77777777" w:rsidR="00152990" w:rsidRPr="00C744FE" w:rsidRDefault="00152990" w:rsidP="00152990">
      <w:pPr>
        <w:jc w:val="both"/>
        <w:rPr>
          <w:rFonts w:eastAsiaTheme="minorEastAsia"/>
        </w:rPr>
      </w:pPr>
      <m:oMathPara>
        <m:oMathParaPr>
          <m:jc m:val="left"/>
        </m:oMathParaPr>
        <m:oMath>
          <m:r>
            <w:rPr>
              <w:rFonts w:ascii="Cambria Math" w:eastAsiaTheme="minorEastAsia" w:hAnsi="Cambria Math"/>
            </w:rPr>
            <m:t>ΔE=t.ΔU.S.ΔT=1400</m:t>
          </m:r>
          <m:r>
            <w:rPr>
              <w:rFonts w:ascii="Cambria Math" w:eastAsiaTheme="minorEastAsia" w:hAnsi="Cambria Math"/>
            </w:rPr>
            <m:t xml:space="preserve">h. </m:t>
          </m:r>
          <m:d>
            <m:dPr>
              <m:ctrlPr>
                <w:rPr>
                  <w:rFonts w:ascii="Cambria Math" w:eastAsiaTheme="minorEastAsia" w:hAnsi="Cambria Math"/>
                  <w:i/>
                </w:rPr>
              </m:ctrlPr>
            </m:dPr>
            <m:e>
              <m:r>
                <w:rPr>
                  <w:rFonts w:ascii="Cambria Math" w:eastAsiaTheme="minorEastAsia" w:hAnsi="Cambria Math"/>
                </w:rPr>
                <m:t>4,8-1,1</m:t>
              </m:r>
            </m:e>
          </m:d>
          <m:f>
            <m:fPr>
              <m:ctrlPr>
                <w:rPr>
                  <w:rFonts w:ascii="Cambria Math" w:eastAsiaTheme="minorEastAsia" w:hAnsi="Cambria Math"/>
                  <w:i/>
                </w:rPr>
              </m:ctrlPr>
            </m:fPr>
            <m:num>
              <m:r>
                <w:rPr>
                  <w:rFonts w:ascii="Cambria Math" w:eastAsiaTheme="minorEastAsia" w:hAnsi="Cambria Math"/>
                </w:rPr>
                <m:t>W</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K</m:t>
              </m:r>
            </m:den>
          </m:f>
          <m:r>
            <w:rPr>
              <w:rFonts w:ascii="Cambria Math" w:eastAsiaTheme="minorEastAsia" w:hAnsi="Cambria Math"/>
            </w:rPr>
            <m:t>.2338</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.9K=109 000 kWh/an</m:t>
          </m:r>
        </m:oMath>
      </m:oMathPara>
    </w:p>
    <w:p w14:paraId="63B48C06" w14:textId="77777777" w:rsidR="00C744FE" w:rsidRPr="00C744FE" w:rsidRDefault="00C744FE" w:rsidP="00C744FE">
      <w:pPr>
        <w:jc w:val="both"/>
        <w:rPr>
          <w:b/>
        </w:rPr>
      </w:pPr>
      <w:r w:rsidRPr="00C744FE">
        <w:rPr>
          <w:rFonts w:eastAsiaTheme="minorEastAsia"/>
          <w:b/>
        </w:rPr>
        <w:t xml:space="preserve">- M5 </w:t>
      </w:r>
      <w:r>
        <w:rPr>
          <w:rFonts w:eastAsiaTheme="minorEastAsia"/>
        </w:rPr>
        <w:t xml:space="preserve">Avec une durée de chauffage </w:t>
      </w:r>
      <m:oMath>
        <m:r>
          <w:rPr>
            <w:rFonts w:ascii="Cambria Math" w:eastAsiaTheme="minorEastAsia" w:hAnsi="Cambria Math"/>
          </w:rPr>
          <m:t>t</m:t>
        </m:r>
      </m:oMath>
      <w:r>
        <w:rPr>
          <w:rFonts w:eastAsiaTheme="minorEastAsia"/>
        </w:rPr>
        <w:t xml:space="preserve"> prise à 1 400 h/an (voir TFE), une surface de murs </w:t>
      </w:r>
      <m:oMath>
        <m:r>
          <w:rPr>
            <w:rFonts w:ascii="Cambria Math" w:eastAsiaTheme="minorEastAsia" w:hAnsi="Cambria Math"/>
          </w:rPr>
          <m:t>S</m:t>
        </m:r>
      </m:oMath>
      <w:r>
        <w:rPr>
          <w:rFonts w:eastAsiaTheme="minorEastAsia"/>
        </w:rPr>
        <w:t xml:space="preserve"> de 10 000 m</w:t>
      </w:r>
      <w:r w:rsidRPr="00532326">
        <w:rPr>
          <w:rFonts w:eastAsiaTheme="minorEastAsia"/>
          <w:vertAlign w:val="superscript"/>
        </w:rPr>
        <w:t>2</w:t>
      </w:r>
      <w:r>
        <w:rPr>
          <w:rFonts w:eastAsiaTheme="minorEastAsia"/>
        </w:rPr>
        <w:t xml:space="preserve">, une différence de température </w:t>
      </w:r>
      <m:oMath>
        <m:r>
          <w:rPr>
            <w:rFonts w:ascii="Cambria Math" w:eastAsiaTheme="minorEastAsia" w:hAnsi="Cambria Math"/>
          </w:rPr>
          <m:t>ΔT</m:t>
        </m:r>
      </m:oMath>
      <w:r>
        <w:rPr>
          <w:rFonts w:eastAsiaTheme="minorEastAsia"/>
        </w:rPr>
        <w:t xml:space="preserve"> de 9°C (voir TFE), un coefficient de transmission thermique U avant travaux de 2,4</w:t>
      </w:r>
      <w:r w:rsidRPr="00152990">
        <w:rPr>
          <w:rFonts w:eastAsiaTheme="minorEastAsia"/>
        </w:rPr>
        <w:t xml:space="preserve"> </w:t>
      </w:r>
      <w:r>
        <w:rPr>
          <w:rFonts w:eastAsiaTheme="minorEastAsia"/>
        </w:rPr>
        <w:t>W/(m</w:t>
      </w:r>
      <w:r w:rsidRPr="00532326">
        <w:rPr>
          <w:rFonts w:eastAsiaTheme="minorEastAsia"/>
          <w:vertAlign w:val="superscript"/>
        </w:rPr>
        <w:t>2</w:t>
      </w:r>
      <w:r>
        <w:rPr>
          <w:rFonts w:eastAsiaTheme="minorEastAsia"/>
        </w:rPr>
        <w:t>.K) et un U après travaux de 0,15 W/(m</w:t>
      </w:r>
      <w:r w:rsidRPr="00532326">
        <w:rPr>
          <w:rFonts w:eastAsiaTheme="minorEastAsia"/>
          <w:vertAlign w:val="superscript"/>
        </w:rPr>
        <w:t>2</w:t>
      </w:r>
      <w:r>
        <w:rPr>
          <w:rFonts w:eastAsiaTheme="minorEastAsia"/>
        </w:rPr>
        <w:t xml:space="preserve">.K), les gains énergétiques s’élèvent à environ </w:t>
      </w:r>
      <w:r>
        <w:rPr>
          <w:rFonts w:eastAsiaTheme="minorEastAsia"/>
          <w:u w:val="single"/>
        </w:rPr>
        <w:t>280 0</w:t>
      </w:r>
      <w:r w:rsidRPr="00532326">
        <w:rPr>
          <w:rFonts w:eastAsiaTheme="minorEastAsia"/>
          <w:u w:val="single"/>
        </w:rPr>
        <w:t>00 kWh/an</w:t>
      </w:r>
      <w:r>
        <w:rPr>
          <w:rFonts w:eastAsiaTheme="minorEastAsia"/>
        </w:rPr>
        <w:t>.</w:t>
      </w:r>
    </w:p>
    <w:p w14:paraId="206C9E45" w14:textId="77777777" w:rsidR="00C744FE" w:rsidRPr="00C744FE" w:rsidRDefault="00C744FE" w:rsidP="00C744FE">
      <w:pPr>
        <w:jc w:val="both"/>
        <w:rPr>
          <w:rFonts w:eastAsiaTheme="minorEastAsia"/>
        </w:rPr>
      </w:pPr>
      <m:oMathPara>
        <m:oMathParaPr>
          <m:jc m:val="left"/>
        </m:oMathParaPr>
        <m:oMath>
          <m:r>
            <w:rPr>
              <w:rFonts w:ascii="Cambria Math" w:eastAsiaTheme="minorEastAsia" w:hAnsi="Cambria Math"/>
            </w:rPr>
            <m:t>ΔE=t.ΔU.S.ΔT=1400</m:t>
          </m:r>
          <m:r>
            <w:rPr>
              <w:rFonts w:ascii="Cambria Math" w:eastAsiaTheme="minorEastAsia" w:hAnsi="Cambria Math"/>
            </w:rPr>
            <m:t xml:space="preserve">h. </m:t>
          </m:r>
          <m:d>
            <m:dPr>
              <m:ctrlPr>
                <w:rPr>
                  <w:rFonts w:ascii="Cambria Math" w:eastAsiaTheme="minorEastAsia" w:hAnsi="Cambria Math"/>
                  <w:i/>
                </w:rPr>
              </m:ctrlPr>
            </m:dPr>
            <m:e>
              <m:r>
                <w:rPr>
                  <w:rFonts w:ascii="Cambria Math" w:eastAsiaTheme="minorEastAsia" w:hAnsi="Cambria Math"/>
                </w:rPr>
                <m:t>2,4-0,15</m:t>
              </m:r>
            </m:e>
          </m:d>
          <m:f>
            <m:fPr>
              <m:ctrlPr>
                <w:rPr>
                  <w:rFonts w:ascii="Cambria Math" w:eastAsiaTheme="minorEastAsia" w:hAnsi="Cambria Math"/>
                  <w:i/>
                </w:rPr>
              </m:ctrlPr>
            </m:fPr>
            <m:num>
              <m:r>
                <w:rPr>
                  <w:rFonts w:ascii="Cambria Math" w:eastAsiaTheme="minorEastAsia" w:hAnsi="Cambria Math"/>
                </w:rPr>
                <m:t>W</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K</m:t>
              </m:r>
            </m:den>
          </m:f>
          <m:r>
            <w:rPr>
              <w:rFonts w:ascii="Cambria Math" w:eastAsiaTheme="minorEastAsia" w:hAnsi="Cambria Math"/>
            </w:rPr>
            <m:t>.2338</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.9K=283 500 kWh/an</m:t>
          </m:r>
        </m:oMath>
      </m:oMathPara>
    </w:p>
    <w:p w14:paraId="0200799D" w14:textId="77777777" w:rsidR="00152990" w:rsidRPr="00152990" w:rsidRDefault="00152990" w:rsidP="00532326">
      <w:pPr>
        <w:jc w:val="both"/>
        <w:rPr>
          <w:b/>
        </w:rPr>
      </w:pPr>
    </w:p>
    <w:p w14:paraId="67462684" w14:textId="77777777" w:rsidR="00A9391A" w:rsidRDefault="00A9391A" w:rsidP="00532326">
      <w:pPr>
        <w:jc w:val="both"/>
        <w:rPr>
          <w:b/>
          <w:i/>
        </w:rPr>
      </w:pPr>
      <w:r>
        <w:rPr>
          <w:b/>
          <w:i/>
        </w:rPr>
        <w:t>Ventilation</w:t>
      </w:r>
    </w:p>
    <w:p w14:paraId="094095C9" w14:textId="77777777" w:rsidR="00A9391A" w:rsidRDefault="00A9391A" w:rsidP="00532326">
      <w:pPr>
        <w:jc w:val="both"/>
      </w:pPr>
      <w:r>
        <w:lastRenderedPageBreak/>
        <w:t xml:space="preserve">- </w:t>
      </w:r>
      <w:r w:rsidR="00A20855">
        <w:rPr>
          <w:b/>
        </w:rPr>
        <w:t>M10</w:t>
      </w:r>
      <w:r w:rsidRPr="007610B0">
        <w:rPr>
          <w:b/>
        </w:rPr>
        <w:t>.</w:t>
      </w:r>
      <w:r>
        <w:t xml:space="preserve"> </w:t>
      </w:r>
      <w:r w:rsidR="007610B0">
        <w:t>Pour une consommation annuelle de 200 000 kWh pou</w:t>
      </w:r>
      <w:r w:rsidR="000E6438">
        <w:t xml:space="preserve">r </w:t>
      </w:r>
      <w:r w:rsidR="0037738E">
        <w:t xml:space="preserve">le chauffage de l’air de </w:t>
      </w:r>
      <w:r w:rsidR="000E6438">
        <w:t>la ventilation</w:t>
      </w:r>
      <w:r w:rsidR="007610B0">
        <w:t xml:space="preserve">, des actions d’amélioration de la performance énergétique de l’installation déjà présente, pourrait plausiblement mener à des gains de 5%, soit à des gains de 10 000 kWh/an. </w:t>
      </w:r>
    </w:p>
    <w:p w14:paraId="0DBF05DB" w14:textId="77777777" w:rsidR="00494079" w:rsidRPr="00A9391A" w:rsidRDefault="00494079" w:rsidP="00532326">
      <w:pPr>
        <w:jc w:val="both"/>
      </w:pPr>
    </w:p>
    <w:p w14:paraId="7450611F" w14:textId="77777777" w:rsidR="007E7992" w:rsidRPr="00D33300" w:rsidRDefault="00D46901" w:rsidP="00532326">
      <w:pPr>
        <w:jc w:val="both"/>
        <w:rPr>
          <w:b/>
          <w:i/>
        </w:rPr>
      </w:pPr>
      <w:r w:rsidRPr="00D33300">
        <w:rPr>
          <w:b/>
          <w:i/>
        </w:rPr>
        <w:t>Chauffage</w:t>
      </w:r>
    </w:p>
    <w:p w14:paraId="4AAAD5CD" w14:textId="77777777" w:rsidR="00D46901" w:rsidRDefault="00D46901" w:rsidP="00532326">
      <w:pPr>
        <w:jc w:val="both"/>
      </w:pPr>
      <w:r>
        <w:t xml:space="preserve">La consommation annuelle d’un tel </w:t>
      </w:r>
      <w:r w:rsidR="004603DC">
        <w:t xml:space="preserve">établissement </w:t>
      </w:r>
      <w:r>
        <w:t xml:space="preserve">en combustible est de l’ordre du million de kWh. Si nous supposons un rendement </w:t>
      </w:r>
      <w:r w:rsidRPr="00D46901">
        <w:rPr>
          <w:i/>
        </w:rPr>
        <w:t>global</w:t>
      </w:r>
      <w:r w:rsidR="00B2701C">
        <w:t xml:space="preserve"> de 0,6</w:t>
      </w:r>
      <w:r>
        <w:t>, cela correspond à une énergie utile de 600 000 kWh.</w:t>
      </w:r>
    </w:p>
    <w:p w14:paraId="16D8F6E9" w14:textId="77777777" w:rsidR="00D46901" w:rsidRDefault="00D46901" w:rsidP="00532326">
      <w:pPr>
        <w:jc w:val="both"/>
      </w:pPr>
      <w:r>
        <w:t xml:space="preserve">- </w:t>
      </w:r>
      <w:r w:rsidR="005F7FE7">
        <w:rPr>
          <w:b/>
        </w:rPr>
        <w:t>M13</w:t>
      </w:r>
      <w:r w:rsidRPr="00532326">
        <w:rPr>
          <w:b/>
        </w:rPr>
        <w:t>.</w:t>
      </w:r>
      <w:r>
        <w:t xml:space="preserve"> En remplaçant la chaudière, le rendement global (PCI) passe à 0,8.</w:t>
      </w:r>
    </w:p>
    <w:p w14:paraId="1C850F87" w14:textId="77777777" w:rsidR="00D46901" w:rsidRPr="00D46901" w:rsidRDefault="00295E7A" w:rsidP="00532326">
      <w:pPr>
        <w:jc w:val="both"/>
        <w:rPr>
          <w:rFonts w:eastAsiaTheme="minorEastAsia"/>
        </w:rPr>
      </w:pPr>
      <m:oMathPara>
        <m:oMathParaPr>
          <m:jc m:val="left"/>
        </m:oMathParaPr>
        <m:oMath>
          <m:f>
            <m:fPr>
              <m:ctrlPr>
                <w:rPr>
                  <w:rFonts w:ascii="Cambria Math" w:hAnsi="Cambria Math"/>
                  <w:i/>
                </w:rPr>
              </m:ctrlPr>
            </m:fPr>
            <m:num>
              <m:r>
                <w:rPr>
                  <w:rFonts w:ascii="Cambria Math" w:hAnsi="Cambria Math"/>
                </w:rPr>
                <m:t xml:space="preserve">600 000 </m:t>
              </m:r>
              <m:f>
                <m:fPr>
                  <m:ctrlPr>
                    <w:rPr>
                      <w:rFonts w:ascii="Cambria Math" w:hAnsi="Cambria Math"/>
                      <w:i/>
                    </w:rPr>
                  </m:ctrlPr>
                </m:fPr>
                <m:num>
                  <m:r>
                    <w:rPr>
                      <w:rFonts w:ascii="Cambria Math" w:hAnsi="Cambria Math"/>
                    </w:rPr>
                    <m:t>kWh</m:t>
                  </m:r>
                </m:num>
                <m:den>
                  <m:r>
                    <w:rPr>
                      <w:rFonts w:ascii="Cambria Math" w:hAnsi="Cambria Math"/>
                    </w:rPr>
                    <m:t>an</m:t>
                  </m:r>
                </m:den>
              </m:f>
            </m:num>
            <m:den>
              <m:r>
                <w:rPr>
                  <w:rFonts w:ascii="Cambria Math" w:hAnsi="Cambria Math"/>
                </w:rPr>
                <m:t>0,8</m:t>
              </m:r>
            </m:den>
          </m:f>
          <m:r>
            <w:rPr>
              <w:rFonts w:ascii="Cambria Math" w:eastAsiaTheme="minorEastAsia" w:hAnsi="Cambria Math"/>
            </w:rPr>
            <m:t xml:space="preserve">=750 000 </m:t>
          </m:r>
          <m:f>
            <m:fPr>
              <m:ctrlPr>
                <w:rPr>
                  <w:rFonts w:ascii="Cambria Math" w:hAnsi="Cambria Math"/>
                  <w:i/>
                </w:rPr>
              </m:ctrlPr>
            </m:fPr>
            <m:num>
              <m:r>
                <w:rPr>
                  <w:rFonts w:ascii="Cambria Math" w:hAnsi="Cambria Math"/>
                </w:rPr>
                <m:t>kWh</m:t>
              </m:r>
            </m:num>
            <m:den>
              <m:r>
                <w:rPr>
                  <w:rFonts w:ascii="Cambria Math" w:hAnsi="Cambria Math"/>
                </w:rPr>
                <m:t>an</m:t>
              </m:r>
            </m:den>
          </m:f>
        </m:oMath>
      </m:oMathPara>
    </w:p>
    <w:p w14:paraId="37B18170" w14:textId="77777777" w:rsidR="00D46901" w:rsidRDefault="00D46901" w:rsidP="00532326">
      <w:pPr>
        <w:jc w:val="both"/>
        <w:rPr>
          <w:rFonts w:eastAsiaTheme="minorEastAsia"/>
        </w:rPr>
      </w:pPr>
      <w:r>
        <w:rPr>
          <w:rFonts w:eastAsiaTheme="minorEastAsia"/>
        </w:rPr>
        <w:t xml:space="preserve">Le gain par rapport à la situation initiale de 1 000 000 kWh est donc de </w:t>
      </w:r>
      <w:r w:rsidRPr="00532326">
        <w:rPr>
          <w:rFonts w:eastAsiaTheme="minorEastAsia"/>
          <w:u w:val="single"/>
        </w:rPr>
        <w:t>250 000 kWh/an</w:t>
      </w:r>
      <w:r>
        <w:rPr>
          <w:rFonts w:eastAsiaTheme="minorEastAsia"/>
        </w:rPr>
        <w:t xml:space="preserve">. </w:t>
      </w:r>
    </w:p>
    <w:p w14:paraId="2FBF85E6" w14:textId="77777777" w:rsidR="00D46901" w:rsidRDefault="00D46901" w:rsidP="00532326">
      <w:pPr>
        <w:jc w:val="both"/>
        <w:rPr>
          <w:rFonts w:eastAsiaTheme="minorEastAsia"/>
        </w:rPr>
      </w:pPr>
      <w:r>
        <w:rPr>
          <w:rFonts w:eastAsiaTheme="minorEastAsia"/>
        </w:rPr>
        <w:t xml:space="preserve">- </w:t>
      </w:r>
      <w:r w:rsidR="005F7FE7">
        <w:rPr>
          <w:rFonts w:eastAsiaTheme="minorEastAsia"/>
          <w:b/>
        </w:rPr>
        <w:t>M14</w:t>
      </w:r>
      <w:r w:rsidR="00B5227C">
        <w:rPr>
          <w:rFonts w:eastAsiaTheme="minorEastAsia"/>
          <w:b/>
        </w:rPr>
        <w:t xml:space="preserve"> (et M11</w:t>
      </w:r>
      <w:r w:rsidR="00A9391A">
        <w:rPr>
          <w:rFonts w:eastAsiaTheme="minorEastAsia"/>
          <w:b/>
        </w:rPr>
        <w:t>)</w:t>
      </w:r>
      <w:r w:rsidRPr="00532326">
        <w:rPr>
          <w:rFonts w:eastAsiaTheme="minorEastAsia"/>
          <w:b/>
        </w:rPr>
        <w:t>.</w:t>
      </w:r>
      <w:r>
        <w:rPr>
          <w:rFonts w:eastAsiaTheme="minorEastAsia"/>
        </w:rPr>
        <w:t xml:space="preserve"> En rénovant complètement l’installation de chauffage, le rendement passe à 0,9.</w:t>
      </w:r>
    </w:p>
    <w:p w14:paraId="618084B8" w14:textId="77777777" w:rsidR="00D46901" w:rsidRDefault="00D46901" w:rsidP="00532326">
      <w:pPr>
        <w:jc w:val="both"/>
        <w:rPr>
          <w:rFonts w:eastAsiaTheme="minorEastAsia"/>
        </w:rPr>
      </w:pPr>
      <w:r>
        <w:rPr>
          <w:rFonts w:eastAsiaTheme="minorEastAsia"/>
        </w:rPr>
        <w:t xml:space="preserve">Suivant le même calcul, le gain par rapport à la situation initiale est de </w:t>
      </w:r>
      <w:r w:rsidRPr="00532326">
        <w:rPr>
          <w:rFonts w:eastAsiaTheme="minorEastAsia"/>
          <w:u w:val="single"/>
        </w:rPr>
        <w:t>333 000 kWh/an.</w:t>
      </w:r>
    </w:p>
    <w:p w14:paraId="1A708194" w14:textId="77777777" w:rsidR="004E1AED" w:rsidRDefault="004E1AED" w:rsidP="00532326">
      <w:pPr>
        <w:jc w:val="both"/>
        <w:rPr>
          <w:rFonts w:eastAsiaTheme="minorEastAsia"/>
        </w:rPr>
      </w:pPr>
      <w:r>
        <w:rPr>
          <w:rFonts w:eastAsiaTheme="minorEastAsia"/>
        </w:rPr>
        <w:t xml:space="preserve">- </w:t>
      </w:r>
      <w:r w:rsidR="005F7FE7">
        <w:rPr>
          <w:rFonts w:eastAsiaTheme="minorEastAsia"/>
          <w:b/>
        </w:rPr>
        <w:t>M15</w:t>
      </w:r>
      <w:r w:rsidRPr="00532326">
        <w:rPr>
          <w:rFonts w:eastAsiaTheme="minorEastAsia"/>
          <w:b/>
        </w:rPr>
        <w:t>.</w:t>
      </w:r>
      <w:r>
        <w:rPr>
          <w:rFonts w:eastAsiaTheme="minorEastAsia"/>
        </w:rPr>
        <w:t xml:space="preserve"> Les gains énergétiques suite à l’isolation de quelques vannes ont été estimés dans le TFE. Ce montant est de l’ordre de 4 000 kWh/an. Il a ét</w:t>
      </w:r>
      <w:r w:rsidR="003A669E">
        <w:rPr>
          <w:rFonts w:eastAsiaTheme="minorEastAsia"/>
        </w:rPr>
        <w:t xml:space="preserve">é multiplié par 10 pour considérer </w:t>
      </w:r>
      <w:r>
        <w:rPr>
          <w:rFonts w:eastAsiaTheme="minorEastAsia"/>
        </w:rPr>
        <w:t>un cas de départ avec une is</w:t>
      </w:r>
      <w:r w:rsidR="003A669E">
        <w:rPr>
          <w:rFonts w:eastAsiaTheme="minorEastAsia"/>
        </w:rPr>
        <w:t>olation de pauvre qualité</w:t>
      </w:r>
      <w:r w:rsidR="00532326">
        <w:rPr>
          <w:rFonts w:eastAsiaTheme="minorEastAsia"/>
        </w:rPr>
        <w:t xml:space="preserve"> (contrairement au cas du TFE), pour atteindre </w:t>
      </w:r>
      <w:r w:rsidR="00532326" w:rsidRPr="00532326">
        <w:rPr>
          <w:rFonts w:eastAsiaTheme="minorEastAsia"/>
          <w:u w:val="single"/>
        </w:rPr>
        <w:t>40 000 kWh/an</w:t>
      </w:r>
      <w:r w:rsidR="00532326">
        <w:rPr>
          <w:rFonts w:eastAsiaTheme="minorEastAsia"/>
        </w:rPr>
        <w:t>.</w:t>
      </w:r>
      <w:r>
        <w:rPr>
          <w:rFonts w:eastAsiaTheme="minorEastAsia"/>
        </w:rPr>
        <w:t xml:space="preserve"> </w:t>
      </w:r>
    </w:p>
    <w:p w14:paraId="6927D278" w14:textId="77777777" w:rsidR="00D1409E" w:rsidRDefault="00D1409E" w:rsidP="00532326">
      <w:pPr>
        <w:jc w:val="both"/>
        <w:rPr>
          <w:rFonts w:eastAsiaTheme="minorEastAsia"/>
        </w:rPr>
      </w:pPr>
      <w:r>
        <w:rPr>
          <w:rFonts w:eastAsiaTheme="minorEastAsia"/>
        </w:rPr>
        <w:t xml:space="preserve">- </w:t>
      </w:r>
      <w:r w:rsidR="005F7FE7">
        <w:rPr>
          <w:rFonts w:eastAsiaTheme="minorEastAsia"/>
          <w:b/>
        </w:rPr>
        <w:t>M16</w:t>
      </w:r>
      <w:r w:rsidRPr="00532326">
        <w:rPr>
          <w:rFonts w:eastAsiaTheme="minorEastAsia"/>
          <w:b/>
        </w:rPr>
        <w:t>.</w:t>
      </w:r>
      <w:r>
        <w:rPr>
          <w:rFonts w:eastAsiaTheme="minorEastAsia"/>
        </w:rPr>
        <w:t xml:space="preserve"> Il a été considéré que les gains énergétique</w:t>
      </w:r>
      <w:r w:rsidR="00A1411E">
        <w:rPr>
          <w:rFonts w:eastAsiaTheme="minorEastAsia"/>
        </w:rPr>
        <w:t>s</w:t>
      </w:r>
      <w:r>
        <w:rPr>
          <w:rFonts w:eastAsiaTheme="minorEastAsia"/>
        </w:rPr>
        <w:t xml:space="preserve"> </w:t>
      </w:r>
      <w:r w:rsidR="00AB2D06">
        <w:rPr>
          <w:rFonts w:eastAsiaTheme="minorEastAsia"/>
        </w:rPr>
        <w:t xml:space="preserve">en dégageant les radiateurs </w:t>
      </w:r>
      <w:r>
        <w:rPr>
          <w:rFonts w:eastAsiaTheme="minorEastAsia"/>
        </w:rPr>
        <w:t>seraient légèrement supérieurs à apposer une plaque isolante à l’ar</w:t>
      </w:r>
      <w:r w:rsidR="00532326">
        <w:rPr>
          <w:rFonts w:eastAsiaTheme="minorEastAsia"/>
        </w:rPr>
        <w:t xml:space="preserve">rière des radiateurs (voir M14), de l’ordre de </w:t>
      </w:r>
      <w:r w:rsidR="00375C17">
        <w:rPr>
          <w:rFonts w:eastAsiaTheme="minorEastAsia"/>
        </w:rPr>
        <w:br/>
      </w:r>
      <w:r w:rsidR="00532326" w:rsidRPr="00532326">
        <w:rPr>
          <w:rFonts w:eastAsiaTheme="minorEastAsia"/>
          <w:u w:val="single"/>
        </w:rPr>
        <w:t>3 000 kWh/an</w:t>
      </w:r>
      <w:r w:rsidR="00532326">
        <w:rPr>
          <w:rFonts w:eastAsiaTheme="minorEastAsia"/>
        </w:rPr>
        <w:t>.</w:t>
      </w:r>
    </w:p>
    <w:p w14:paraId="37C23F47" w14:textId="77777777" w:rsidR="00D1409E" w:rsidRDefault="00D1409E" w:rsidP="00532326">
      <w:pPr>
        <w:jc w:val="both"/>
        <w:rPr>
          <w:rFonts w:eastAsiaTheme="minorEastAsia"/>
        </w:rPr>
      </w:pPr>
      <w:r>
        <w:rPr>
          <w:rFonts w:eastAsiaTheme="minorEastAsia"/>
        </w:rPr>
        <w:t xml:space="preserve">- </w:t>
      </w:r>
      <w:r w:rsidR="005F7FE7">
        <w:rPr>
          <w:rFonts w:eastAsiaTheme="minorEastAsia"/>
          <w:b/>
        </w:rPr>
        <w:t>M17</w:t>
      </w:r>
      <w:r w:rsidRPr="00532326">
        <w:rPr>
          <w:rFonts w:eastAsiaTheme="minorEastAsia"/>
          <w:b/>
        </w:rPr>
        <w:t>.</w:t>
      </w:r>
      <w:r>
        <w:rPr>
          <w:rFonts w:eastAsiaTheme="minorEastAsia"/>
        </w:rPr>
        <w:t xml:space="preserve"> </w:t>
      </w:r>
      <w:r w:rsidR="00532326">
        <w:rPr>
          <w:rFonts w:eastAsiaTheme="minorEastAsia"/>
        </w:rPr>
        <w:t xml:space="preserve">Avec une durée de chauffage </w:t>
      </w:r>
      <m:oMath>
        <m:r>
          <w:rPr>
            <w:rFonts w:ascii="Cambria Math" w:eastAsiaTheme="minorEastAsia" w:hAnsi="Cambria Math"/>
          </w:rPr>
          <m:t>t</m:t>
        </m:r>
      </m:oMath>
      <w:r w:rsidR="00532326">
        <w:rPr>
          <w:rFonts w:eastAsiaTheme="minorEastAsia"/>
        </w:rPr>
        <w:t xml:space="preserve"> prise à 1 400 h/an (voir TFE), une surface de radiateurs </w:t>
      </w:r>
      <m:oMath>
        <m:r>
          <w:rPr>
            <w:rFonts w:ascii="Cambria Math" w:eastAsiaTheme="minorEastAsia" w:hAnsi="Cambria Math"/>
          </w:rPr>
          <m:t>S</m:t>
        </m:r>
      </m:oMath>
      <w:r w:rsidR="00532326">
        <w:rPr>
          <w:rFonts w:eastAsiaTheme="minorEastAsia"/>
        </w:rPr>
        <w:t xml:space="preserve"> de </w:t>
      </w:r>
      <w:r w:rsidR="00532326">
        <w:rPr>
          <w:rFonts w:eastAsiaTheme="minorEastAsia"/>
        </w:rPr>
        <w:br/>
        <w:t>200 m</w:t>
      </w:r>
      <w:r w:rsidR="00532326" w:rsidRPr="00532326">
        <w:rPr>
          <w:rFonts w:eastAsiaTheme="minorEastAsia"/>
          <w:vertAlign w:val="superscript"/>
        </w:rPr>
        <w:t>2</w:t>
      </w:r>
      <w:r w:rsidR="00532326">
        <w:rPr>
          <w:rFonts w:eastAsiaTheme="minorEastAsia"/>
        </w:rPr>
        <w:t xml:space="preserve"> (100 radiateurs de 2m</w:t>
      </w:r>
      <w:r w:rsidR="00532326" w:rsidRPr="00532326">
        <w:rPr>
          <w:rFonts w:eastAsiaTheme="minorEastAsia"/>
          <w:vertAlign w:val="superscript"/>
        </w:rPr>
        <w:t>2</w:t>
      </w:r>
      <w:r w:rsidR="00532326">
        <w:rPr>
          <w:rFonts w:eastAsiaTheme="minorEastAsia"/>
        </w:rPr>
        <w:t xml:space="preserve"> chacun), une différence de température </w:t>
      </w:r>
      <m:oMath>
        <m:r>
          <w:rPr>
            <w:rFonts w:ascii="Cambria Math" w:eastAsiaTheme="minorEastAsia" w:hAnsi="Cambria Math"/>
          </w:rPr>
          <m:t>ΔT</m:t>
        </m:r>
      </m:oMath>
      <w:r w:rsidR="00532326">
        <w:rPr>
          <w:rFonts w:eastAsiaTheme="minorEastAsia"/>
        </w:rPr>
        <w:t xml:space="preserve"> de 5°C (différence de température entre l’intérieur et le mur intérieur), et avec une couche isolante supplémentaire de coefficient de transmission thermique </w:t>
      </w:r>
      <m:oMath>
        <m:r>
          <w:rPr>
            <w:rFonts w:ascii="Cambria Math" w:eastAsiaTheme="minorEastAsia" w:hAnsi="Cambria Math"/>
          </w:rPr>
          <m:t>U</m:t>
        </m:r>
      </m:oMath>
      <w:r w:rsidR="00532326">
        <w:rPr>
          <w:rFonts w:eastAsiaTheme="minorEastAsia"/>
        </w:rPr>
        <w:t xml:space="preserve"> égale à 1 W/(m</w:t>
      </w:r>
      <w:r w:rsidR="00532326" w:rsidRPr="00532326">
        <w:rPr>
          <w:rFonts w:eastAsiaTheme="minorEastAsia"/>
          <w:vertAlign w:val="superscript"/>
        </w:rPr>
        <w:t>2</w:t>
      </w:r>
      <w:r w:rsidR="00532326">
        <w:rPr>
          <w:rFonts w:eastAsiaTheme="minorEastAsia"/>
        </w:rPr>
        <w:t>.K) (en supposant une couche de 2 cm d’épaisseur de conductivité thermique 0,02 W/(</w:t>
      </w:r>
      <w:proofErr w:type="spellStart"/>
      <w:r w:rsidR="00532326">
        <w:rPr>
          <w:rFonts w:eastAsiaTheme="minorEastAsia"/>
        </w:rPr>
        <w:t>m.K</w:t>
      </w:r>
      <w:proofErr w:type="spellEnd"/>
      <w:r w:rsidR="00532326">
        <w:rPr>
          <w:rFonts w:eastAsiaTheme="minorEastAsia"/>
        </w:rPr>
        <w:t xml:space="preserve">)), les gains énergétiques s’élèvent à </w:t>
      </w:r>
      <w:r w:rsidR="00532326" w:rsidRPr="00532326">
        <w:rPr>
          <w:rFonts w:eastAsiaTheme="minorEastAsia"/>
          <w:u w:val="single"/>
        </w:rPr>
        <w:t>1 400 kWh/an</w:t>
      </w:r>
      <w:r w:rsidR="00532326">
        <w:rPr>
          <w:rFonts w:eastAsiaTheme="minorEastAsia"/>
        </w:rPr>
        <w:t>.</w:t>
      </w:r>
    </w:p>
    <w:p w14:paraId="32026009" w14:textId="77777777" w:rsidR="00674FC7" w:rsidRPr="00674FC7" w:rsidRDefault="00674FC7" w:rsidP="00532326">
      <w:pPr>
        <w:jc w:val="both"/>
        <w:rPr>
          <w:rFonts w:eastAsiaTheme="minorEastAsia"/>
        </w:rPr>
      </w:pPr>
      <m:oMathPara>
        <m:oMathParaPr>
          <m:jc m:val="left"/>
        </m:oMathParaPr>
        <m:oMath>
          <m:r>
            <w:rPr>
              <w:rFonts w:ascii="Cambria Math" w:eastAsiaTheme="minorEastAsia" w:hAnsi="Cambria Math"/>
            </w:rPr>
            <m:t>E=t.U.S.ΔT=1 400 kWh/an</m:t>
          </m:r>
        </m:oMath>
      </m:oMathPara>
    </w:p>
    <w:p w14:paraId="202AF98F" w14:textId="77777777" w:rsidR="008C300F" w:rsidRDefault="008C300F" w:rsidP="00532326">
      <w:pPr>
        <w:jc w:val="both"/>
        <w:rPr>
          <w:rFonts w:eastAsiaTheme="minorEastAsia"/>
          <w:u w:val="single"/>
        </w:rPr>
      </w:pPr>
      <w:r>
        <w:rPr>
          <w:rFonts w:eastAsiaTheme="minorEastAsia"/>
        </w:rPr>
        <w:t xml:space="preserve">- </w:t>
      </w:r>
      <w:r w:rsidR="005F7FE7">
        <w:rPr>
          <w:rFonts w:eastAsiaTheme="minorEastAsia"/>
          <w:b/>
        </w:rPr>
        <w:t>M19</w:t>
      </w:r>
      <w:r w:rsidRPr="008C300F">
        <w:rPr>
          <w:rFonts w:eastAsiaTheme="minorEastAsia"/>
          <w:b/>
        </w:rPr>
        <w:t>.</w:t>
      </w:r>
      <w:r>
        <w:rPr>
          <w:rFonts w:eastAsiaTheme="minorEastAsia"/>
        </w:rPr>
        <w:t xml:space="preserve"> En régulant la chaudière en température glissante, une hypothèse plausible est un gain énergétique de 5%. Sur une consommation totale de 1 000 000 kWh/an, cela correspond à </w:t>
      </w:r>
      <w:r>
        <w:rPr>
          <w:rFonts w:eastAsiaTheme="minorEastAsia"/>
        </w:rPr>
        <w:br/>
      </w:r>
      <w:r w:rsidRPr="008C300F">
        <w:rPr>
          <w:rFonts w:eastAsiaTheme="minorEastAsia"/>
          <w:u w:val="single"/>
        </w:rPr>
        <w:t>50 000 kWh/an.</w:t>
      </w:r>
    </w:p>
    <w:p w14:paraId="2BB4B6F2" w14:textId="77777777" w:rsidR="00674FC7" w:rsidRDefault="00674FC7" w:rsidP="00532326">
      <w:pPr>
        <w:jc w:val="both"/>
        <w:rPr>
          <w:rFonts w:eastAsiaTheme="minorEastAsia"/>
          <w:u w:val="single"/>
        </w:rPr>
      </w:pPr>
      <w:r>
        <w:rPr>
          <w:rFonts w:eastAsiaTheme="minorEastAsia"/>
        </w:rPr>
        <w:t xml:space="preserve">- </w:t>
      </w:r>
      <w:r w:rsidR="005F7FE7">
        <w:rPr>
          <w:rFonts w:eastAsiaTheme="minorEastAsia"/>
          <w:b/>
        </w:rPr>
        <w:t>M20</w:t>
      </w:r>
      <w:r w:rsidRPr="00674FC7">
        <w:rPr>
          <w:rFonts w:eastAsiaTheme="minorEastAsia"/>
          <w:b/>
        </w:rPr>
        <w:t>.</w:t>
      </w:r>
      <w:r>
        <w:rPr>
          <w:rFonts w:eastAsiaTheme="minorEastAsia"/>
        </w:rPr>
        <w:t xml:space="preserve"> En installant des vannes thermostatiques, les circuits ne fonctionneraient pas lorsque les apports solaires sont suffisants. Considérons qu’il y ait suffisamment d’apports solaires pendant ¼ de la journée environ en moyenne, soit 350 h/an (1 400 h/4). Considérons de plus un </w:t>
      </w:r>
      <m:oMath>
        <m:r>
          <w:rPr>
            <w:rFonts w:ascii="Cambria Math" w:eastAsiaTheme="minorEastAsia" w:hAnsi="Cambria Math"/>
          </w:rPr>
          <m:t>U</m:t>
        </m:r>
      </m:oMath>
      <w:r>
        <w:rPr>
          <w:rFonts w:eastAsiaTheme="minorEastAsia"/>
        </w:rPr>
        <w:t xml:space="preserve"> moyen des parois de 3 W</w:t>
      </w:r>
      <w:proofErr w:type="gramStart"/>
      <w:r>
        <w:rPr>
          <w:rFonts w:eastAsiaTheme="minorEastAsia"/>
        </w:rPr>
        <w:t>/(</w:t>
      </w:r>
      <w:proofErr w:type="gramEnd"/>
      <w:r>
        <w:rPr>
          <w:rFonts w:eastAsiaTheme="minorEastAsia"/>
        </w:rPr>
        <w:t>m</w:t>
      </w:r>
      <w:r w:rsidRPr="00510DED">
        <w:rPr>
          <w:rFonts w:eastAsiaTheme="minorEastAsia"/>
          <w:vertAlign w:val="superscript"/>
        </w:rPr>
        <w:t>2</w:t>
      </w:r>
      <w:r>
        <w:rPr>
          <w:rFonts w:eastAsiaTheme="minorEastAsia"/>
        </w:rPr>
        <w:t>.K), une surface de déperdition de 10 000 m</w:t>
      </w:r>
      <w:r w:rsidRPr="00510DED">
        <w:rPr>
          <w:rFonts w:eastAsiaTheme="minorEastAsia"/>
          <w:vertAlign w:val="superscript"/>
        </w:rPr>
        <w:t>2</w:t>
      </w:r>
      <w:r>
        <w:rPr>
          <w:rFonts w:eastAsiaTheme="minorEastAsia"/>
        </w:rPr>
        <w:t xml:space="preserve"> et des apports solaires correspondants à 3°C. Cela correspond à des gains énergétiques annuels de l’ordre de </w:t>
      </w:r>
      <w:r w:rsidRPr="00674FC7">
        <w:rPr>
          <w:rFonts w:eastAsiaTheme="minorEastAsia"/>
          <w:u w:val="single"/>
        </w:rPr>
        <w:t>30 000 kWh</w:t>
      </w:r>
      <w:r>
        <w:rPr>
          <w:rFonts w:eastAsiaTheme="minorEastAsia"/>
          <w:u w:val="single"/>
        </w:rPr>
        <w:t>/an</w:t>
      </w:r>
      <w:r w:rsidRPr="00674FC7">
        <w:rPr>
          <w:rFonts w:eastAsiaTheme="minorEastAsia"/>
          <w:u w:val="single"/>
        </w:rPr>
        <w:t>.</w:t>
      </w:r>
    </w:p>
    <w:p w14:paraId="4EDB2D24" w14:textId="77777777" w:rsidR="00674FC7" w:rsidRPr="00674FC7" w:rsidRDefault="00674FC7" w:rsidP="00674FC7">
      <w:pPr>
        <w:jc w:val="both"/>
        <w:rPr>
          <w:rFonts w:eastAsiaTheme="minorEastAsia"/>
        </w:rPr>
      </w:pPr>
      <m:oMathPara>
        <m:oMathParaPr>
          <m:jc m:val="left"/>
        </m:oMathParaPr>
        <m:oMath>
          <m:r>
            <w:rPr>
              <w:rFonts w:ascii="Cambria Math" w:eastAsiaTheme="minorEastAsia" w:hAnsi="Cambria Math"/>
            </w:rPr>
            <m:t>E=t.U.S.ΔT=30 000 kWh/an</m:t>
          </m:r>
        </m:oMath>
      </m:oMathPara>
    </w:p>
    <w:p w14:paraId="495FA601" w14:textId="77777777" w:rsidR="00674FC7" w:rsidRDefault="00715B7E" w:rsidP="00532326">
      <w:pPr>
        <w:jc w:val="both"/>
      </w:pPr>
      <w:r>
        <w:t xml:space="preserve">- </w:t>
      </w:r>
      <w:r w:rsidR="005F7FE7">
        <w:rPr>
          <w:b/>
        </w:rPr>
        <w:t>M21</w:t>
      </w:r>
      <w:r w:rsidRPr="00715B7E">
        <w:rPr>
          <w:b/>
        </w:rPr>
        <w:t>.</w:t>
      </w:r>
      <w:r>
        <w:t xml:space="preserve"> L’expérience montre qu’organiser une intermittence peut facilement mener à une réduction des consommations de l’ordre de 5%, soit </w:t>
      </w:r>
      <w:r w:rsidRPr="00715B7E">
        <w:rPr>
          <w:u w:val="single"/>
        </w:rPr>
        <w:t>50 000 kWh/an</w:t>
      </w:r>
      <w:r>
        <w:t>.</w:t>
      </w:r>
    </w:p>
    <w:p w14:paraId="75704BBA" w14:textId="77777777" w:rsidR="00D33300" w:rsidRDefault="004E34BF" w:rsidP="00532326">
      <w:pPr>
        <w:jc w:val="both"/>
      </w:pPr>
      <w:r>
        <w:lastRenderedPageBreak/>
        <w:t xml:space="preserve">- </w:t>
      </w:r>
      <w:r w:rsidR="005F7FE7">
        <w:rPr>
          <w:b/>
        </w:rPr>
        <w:t>M22</w:t>
      </w:r>
      <w:r w:rsidRPr="004E34BF">
        <w:rPr>
          <w:b/>
        </w:rPr>
        <w:t>.</w:t>
      </w:r>
      <w:r>
        <w:t xml:space="preserve"> Remplacer les anciens circulateurs par des circulateurs à vitesse variable permet des gains énergétiques supplémentaires. Si en plus, ceux-ci sont éteints en été, des gains envisageables sont de l’ordre de </w:t>
      </w:r>
      <w:r w:rsidRPr="00EA157C">
        <w:rPr>
          <w:u w:val="single"/>
        </w:rPr>
        <w:t>10 000 kWh/an</w:t>
      </w:r>
      <w:r>
        <w:t xml:space="preserve">. </w:t>
      </w:r>
    </w:p>
    <w:p w14:paraId="701616D4" w14:textId="77777777" w:rsidR="000E5E2D" w:rsidRDefault="000E5E2D" w:rsidP="00532326">
      <w:pPr>
        <w:jc w:val="both"/>
      </w:pPr>
    </w:p>
    <w:p w14:paraId="1A76B163" w14:textId="77777777" w:rsidR="000E5E2D" w:rsidRPr="00D33300" w:rsidRDefault="000E5E2D" w:rsidP="00532326">
      <w:pPr>
        <w:jc w:val="both"/>
        <w:rPr>
          <w:b/>
          <w:i/>
        </w:rPr>
      </w:pPr>
      <w:r w:rsidRPr="00D33300">
        <w:rPr>
          <w:b/>
          <w:i/>
        </w:rPr>
        <w:t>Eau chaude sanitaire</w:t>
      </w:r>
    </w:p>
    <w:p w14:paraId="567FEBDE" w14:textId="77777777" w:rsidR="000E5E2D" w:rsidRPr="000E5E2D" w:rsidRDefault="000E5E2D" w:rsidP="00532326">
      <w:pPr>
        <w:jc w:val="both"/>
      </w:pPr>
      <w:r>
        <w:t xml:space="preserve">En présence de points de puisage d’eau chaude sanitaire, il n’est pas rare de considérer que 30% de la consommation du combustible (aussi utilisé pour le chauffage) soit consommé pour l’eau chaude sanitaire. Cela correspond dans le cas présent à une consommation annuelle de 300 000 kWh/an. </w:t>
      </w:r>
    </w:p>
    <w:p w14:paraId="048899BD" w14:textId="77777777" w:rsidR="000E5E2D" w:rsidRDefault="000E5E2D" w:rsidP="00532326">
      <w:pPr>
        <w:jc w:val="both"/>
      </w:pPr>
      <w:r>
        <w:t xml:space="preserve">- </w:t>
      </w:r>
      <w:r w:rsidR="005F7FE7">
        <w:rPr>
          <w:b/>
        </w:rPr>
        <w:t>M23</w:t>
      </w:r>
      <w:r w:rsidRPr="00E65AB4">
        <w:rPr>
          <w:b/>
        </w:rPr>
        <w:t>.</w:t>
      </w:r>
      <w:r>
        <w:t xml:space="preserve"> </w:t>
      </w:r>
      <w:r w:rsidR="00E65AB4">
        <w:t xml:space="preserve">En rénovant complètement l’installation ECS, le rendement global passe de 0,6 à 0,9, ce qui mène à des gains énergétiques de 99 000 kWh/an avec les hypothèses données ci-dessus. Arrondissons cela à des gains de l’ordre de </w:t>
      </w:r>
      <w:r w:rsidR="00E65AB4" w:rsidRPr="00EA157C">
        <w:rPr>
          <w:u w:val="single"/>
        </w:rPr>
        <w:t>100 000 kWh/an</w:t>
      </w:r>
      <w:r w:rsidR="00E65AB4">
        <w:t xml:space="preserve">. </w:t>
      </w:r>
    </w:p>
    <w:p w14:paraId="077EA554" w14:textId="77777777" w:rsidR="00311318" w:rsidRDefault="00311318" w:rsidP="00532326">
      <w:pPr>
        <w:jc w:val="both"/>
      </w:pPr>
      <w:r>
        <w:t xml:space="preserve">- </w:t>
      </w:r>
      <w:r w:rsidR="005F7FE7">
        <w:rPr>
          <w:b/>
        </w:rPr>
        <w:t>M23</w:t>
      </w:r>
      <w:r>
        <w:rPr>
          <w:b/>
        </w:rPr>
        <w:t>b</w:t>
      </w:r>
      <w:r w:rsidRPr="00E65AB4">
        <w:rPr>
          <w:b/>
        </w:rPr>
        <w:t>.</w:t>
      </w:r>
      <w:r>
        <w:t xml:space="preserve"> Pour des consommations en ECS moins importantes (10% de la consommation totale, plutôt que 30% tel que pris pour la mesure M22), cela correspond à des gains de l’ordre de 30 000 kWh/an. </w:t>
      </w:r>
    </w:p>
    <w:p w14:paraId="20994DCD" w14:textId="77777777" w:rsidR="006446EC" w:rsidRDefault="006446EC" w:rsidP="00532326">
      <w:pPr>
        <w:jc w:val="both"/>
      </w:pPr>
      <w:r>
        <w:t xml:space="preserve">- </w:t>
      </w:r>
      <w:r w:rsidR="005F7FE7">
        <w:rPr>
          <w:b/>
        </w:rPr>
        <w:t>M24</w:t>
      </w:r>
      <w:r w:rsidRPr="006446EC">
        <w:rPr>
          <w:b/>
        </w:rPr>
        <w:t>.</w:t>
      </w:r>
      <w:r>
        <w:t xml:space="preserve"> </w:t>
      </w:r>
      <w:r w:rsidR="00225EC6">
        <w:t xml:space="preserve">Amener l’eau chaude uniquement là où elle est utile pourrait plausiblement faire économiser 10% de la consommation totale de 300 000 kWh/an, soit </w:t>
      </w:r>
      <w:r w:rsidR="00225EC6" w:rsidRPr="00225EC6">
        <w:rPr>
          <w:u w:val="single"/>
        </w:rPr>
        <w:t>30 000 kWh/an</w:t>
      </w:r>
      <w:r w:rsidR="00225EC6">
        <w:t xml:space="preserve">. </w:t>
      </w:r>
    </w:p>
    <w:p w14:paraId="344A737C" w14:textId="77777777" w:rsidR="00225EC6" w:rsidRDefault="00225EC6" w:rsidP="00532326">
      <w:pPr>
        <w:jc w:val="both"/>
      </w:pPr>
      <w:r>
        <w:t xml:space="preserve">- </w:t>
      </w:r>
      <w:r w:rsidR="005F7FE7">
        <w:rPr>
          <w:b/>
        </w:rPr>
        <w:t>M25</w:t>
      </w:r>
      <w:r w:rsidRPr="00225EC6">
        <w:rPr>
          <w:b/>
        </w:rPr>
        <w:t>.</w:t>
      </w:r>
      <w:r>
        <w:t xml:space="preserve"> Limiter les débits pourrait plausiblement faire économiser 30% de la consommation totale de 300 000 kWh/an</w:t>
      </w:r>
      <w:r w:rsidR="0084312A">
        <w:t xml:space="preserve"> (sans limite, des débits de 18l/min dans les douches ne sont pas rares, on peut passer à 8l/min en limitant le débit)</w:t>
      </w:r>
      <w:r>
        <w:t xml:space="preserve">, soit </w:t>
      </w:r>
      <w:r>
        <w:rPr>
          <w:u w:val="single"/>
        </w:rPr>
        <w:t>9</w:t>
      </w:r>
      <w:r w:rsidRPr="00225EC6">
        <w:rPr>
          <w:u w:val="single"/>
        </w:rPr>
        <w:t>0 000 kWh/an</w:t>
      </w:r>
      <w:r>
        <w:t>.</w:t>
      </w:r>
    </w:p>
    <w:p w14:paraId="273D36DD" w14:textId="77777777" w:rsidR="00225EC6" w:rsidRDefault="00225EC6" w:rsidP="00225EC6">
      <w:pPr>
        <w:jc w:val="both"/>
      </w:pPr>
      <w:r>
        <w:t xml:space="preserve">- </w:t>
      </w:r>
      <w:r w:rsidR="005F7FE7">
        <w:rPr>
          <w:b/>
        </w:rPr>
        <w:t>M26</w:t>
      </w:r>
      <w:r w:rsidRPr="00225EC6">
        <w:rPr>
          <w:b/>
        </w:rPr>
        <w:t>.</w:t>
      </w:r>
      <w:r>
        <w:t xml:space="preserve"> Limiter les temps de puisage pourrait plausiblement faire économiser 10% de la consommation totale de 300 000 kWh/an, soit </w:t>
      </w:r>
      <w:r>
        <w:rPr>
          <w:u w:val="single"/>
        </w:rPr>
        <w:t>3</w:t>
      </w:r>
      <w:r w:rsidRPr="00225EC6">
        <w:rPr>
          <w:u w:val="single"/>
        </w:rPr>
        <w:t>0 000 kWh/an</w:t>
      </w:r>
      <w:r>
        <w:t>.</w:t>
      </w:r>
    </w:p>
    <w:p w14:paraId="726E7574" w14:textId="77777777" w:rsidR="00F12CF7" w:rsidRDefault="00F12CF7" w:rsidP="00225EC6">
      <w:pPr>
        <w:jc w:val="both"/>
      </w:pPr>
      <w:r>
        <w:t xml:space="preserve">- </w:t>
      </w:r>
      <w:r w:rsidR="005F7FE7">
        <w:rPr>
          <w:b/>
        </w:rPr>
        <w:t>M27</w:t>
      </w:r>
      <w:r w:rsidRPr="00F12CF7">
        <w:rPr>
          <w:b/>
        </w:rPr>
        <w:t>.</w:t>
      </w:r>
      <w:r>
        <w:t xml:space="preserve"> Pour le chauffage, cette action menait à 40 000 kWh/an</w:t>
      </w:r>
      <w:r w:rsidR="00A22818">
        <w:t xml:space="preserve"> (voir M12.)</w:t>
      </w:r>
      <w:r>
        <w:t xml:space="preserve">. Étant donné que 30% est consommé pour l’eau chaude sanitaire, multiplions ceci par </w:t>
      </w:r>
      <w:r w:rsidR="00873B22">
        <w:t>0,3. Multiplions encore par 1,5</w:t>
      </w:r>
      <w:r>
        <w:t xml:space="preserve">, car la température de l’eau pour l’eau chaude sanitaire est souvent plus élevée que pour le chauffage. Cela mène à des gains énergétiques de </w:t>
      </w:r>
      <w:r w:rsidRPr="00F12CF7">
        <w:rPr>
          <w:u w:val="single"/>
        </w:rPr>
        <w:t>18 000 kWh/an</w:t>
      </w:r>
      <w:r>
        <w:t xml:space="preserve">.  </w:t>
      </w:r>
    </w:p>
    <w:p w14:paraId="129CD3B0" w14:textId="77777777" w:rsidR="005B2900" w:rsidRDefault="005B2900" w:rsidP="00225EC6">
      <w:pPr>
        <w:jc w:val="both"/>
      </w:pPr>
    </w:p>
    <w:p w14:paraId="2571B3D2" w14:textId="77777777" w:rsidR="005B2900" w:rsidRDefault="005B2900" w:rsidP="00225EC6">
      <w:pPr>
        <w:jc w:val="both"/>
        <w:rPr>
          <w:b/>
          <w:i/>
        </w:rPr>
      </w:pPr>
      <w:r w:rsidRPr="005B2900">
        <w:rPr>
          <w:b/>
          <w:i/>
        </w:rPr>
        <w:t>Production de froid</w:t>
      </w:r>
    </w:p>
    <w:p w14:paraId="160C5190" w14:textId="77777777" w:rsidR="00710989" w:rsidRPr="00710989" w:rsidRDefault="00710989" w:rsidP="00225EC6">
      <w:pPr>
        <w:jc w:val="both"/>
        <w:rPr>
          <w:color w:val="FF0000"/>
        </w:rPr>
      </w:pPr>
      <w:r w:rsidRPr="002459CD">
        <w:rPr>
          <w:b/>
        </w:rPr>
        <w:t xml:space="preserve">- </w:t>
      </w:r>
      <w:r w:rsidR="005F7FE7">
        <w:rPr>
          <w:b/>
        </w:rPr>
        <w:t>M32 à M35</w:t>
      </w:r>
      <w:r w:rsidR="002459CD" w:rsidRPr="002459CD">
        <w:rPr>
          <w:b/>
        </w:rPr>
        <w:t>.</w:t>
      </w:r>
      <w:r w:rsidRPr="002459CD">
        <w:rPr>
          <w:b/>
        </w:rPr>
        <w:t xml:space="preserve"> </w:t>
      </w:r>
      <w:r w:rsidRPr="002459CD">
        <w:t xml:space="preserve">Ces </w:t>
      </w:r>
      <w:r w:rsidRPr="00A54874">
        <w:t>mesures ne concernent que les bâtiments dans lesquels un système de production de froid est présent. Il est important d’éviter le recours à la climatisation quand c’est possible. Certaines infrastructures ne peuvent y échapper, c’est le cas notamment des mu</w:t>
      </w:r>
      <w:r w:rsidR="005F7FE7">
        <w:t>sées. Pour les mesures M32 à M35</w:t>
      </w:r>
      <w:r w:rsidRPr="00A54874">
        <w:t xml:space="preserve">, il a été </w:t>
      </w:r>
      <w:r w:rsidR="002C2A39">
        <w:t>considéré que 5</w:t>
      </w:r>
      <w:r w:rsidRPr="00A54874">
        <w:t xml:space="preserve">0% de l’énergie électrique servait à la climatisation. Il a de plus été fait comme hypothèse que chacune de ces mesures menait à une réduction de 10% de la consommation énergétique liée à la climatisation, ce qui correspond à </w:t>
      </w:r>
      <w:r w:rsidR="001E41AE">
        <w:rPr>
          <w:u w:val="single"/>
        </w:rPr>
        <w:t>25 0</w:t>
      </w:r>
      <w:r w:rsidRPr="00A54874">
        <w:rPr>
          <w:u w:val="single"/>
        </w:rPr>
        <w:t>00 kWh/an</w:t>
      </w:r>
      <w:r w:rsidRPr="00A54874">
        <w:t xml:space="preserve">. </w:t>
      </w:r>
    </w:p>
    <w:p w14:paraId="71A1C5B8" w14:textId="77777777" w:rsidR="00225EC6" w:rsidRDefault="00225EC6" w:rsidP="00225EC6">
      <w:pPr>
        <w:jc w:val="both"/>
      </w:pPr>
    </w:p>
    <w:p w14:paraId="662B1DD3" w14:textId="77777777" w:rsidR="00D12CFD" w:rsidRPr="00FB5FDD" w:rsidRDefault="00FB5FDD" w:rsidP="00225EC6">
      <w:pPr>
        <w:jc w:val="both"/>
        <w:rPr>
          <w:b/>
          <w:sz w:val="24"/>
          <w:szCs w:val="24"/>
        </w:rPr>
      </w:pPr>
      <w:r>
        <w:rPr>
          <w:b/>
          <w:sz w:val="24"/>
          <w:szCs w:val="24"/>
        </w:rPr>
        <w:t xml:space="preserve">2. </w:t>
      </w:r>
      <w:r w:rsidR="00D12CFD" w:rsidRPr="00FB5FDD">
        <w:rPr>
          <w:b/>
          <w:sz w:val="24"/>
          <w:szCs w:val="24"/>
        </w:rPr>
        <w:t>Explications quant à l’échelle de priorité</w:t>
      </w:r>
    </w:p>
    <w:p w14:paraId="1F241CC5" w14:textId="77777777" w:rsidR="00E5480E" w:rsidRPr="00FB5FDD" w:rsidRDefault="00E5480E" w:rsidP="00225EC6">
      <w:pPr>
        <w:jc w:val="both"/>
      </w:pPr>
      <w:r w:rsidRPr="00FB5FDD">
        <w:t xml:space="preserve">L’échelle de priorité est directement liée à l’échelle d’impact carbone. De manière générale, plus l’impact carbone est grand, plus la priorité est grande également. </w:t>
      </w:r>
      <w:r w:rsidR="00CA4531" w:rsidRPr="00FB5FDD">
        <w:t>Ceci dit, il a plusieur</w:t>
      </w:r>
      <w:r w:rsidR="00993D34" w:rsidRPr="00FB5FDD">
        <w:t>s fois été dérogé</w:t>
      </w:r>
      <w:r w:rsidR="00CA4531" w:rsidRPr="00FB5FDD">
        <w:t xml:space="preserve"> à cette règle </w:t>
      </w:r>
      <w:r w:rsidR="00870A46" w:rsidRPr="00FB5FDD">
        <w:t>pour des raisons explicitées ci-après</w:t>
      </w:r>
      <w:r w:rsidR="00CA4531" w:rsidRPr="00FB5FDD">
        <w:t xml:space="preserve">. </w:t>
      </w:r>
    </w:p>
    <w:p w14:paraId="4770615F" w14:textId="77777777" w:rsidR="00FC6D65" w:rsidRPr="00FB5FDD" w:rsidRDefault="00FC6D65" w:rsidP="00225EC6">
      <w:pPr>
        <w:jc w:val="both"/>
      </w:pPr>
      <w:r w:rsidRPr="00FB5FDD">
        <w:t xml:space="preserve">- </w:t>
      </w:r>
      <w:r w:rsidR="00CA4531" w:rsidRPr="00FB5FDD">
        <w:t xml:space="preserve">Une priorité maximale a été donnée à la tenue d’une comptabilité énergétique, indispensable pour un contrôle correct des consommations. </w:t>
      </w:r>
    </w:p>
    <w:p w14:paraId="3D544F01" w14:textId="77777777" w:rsidR="00FC6D65" w:rsidRPr="00FB5FDD" w:rsidRDefault="00FC6D65" w:rsidP="00225EC6">
      <w:pPr>
        <w:jc w:val="both"/>
      </w:pPr>
      <w:r w:rsidRPr="00FB5FDD">
        <w:lastRenderedPageBreak/>
        <w:t xml:space="preserve">- </w:t>
      </w:r>
      <w:r w:rsidR="00CA4531" w:rsidRPr="00FB5FDD">
        <w:t xml:space="preserve">Les travaux sur enveloppe ont été volontairement considérés comme prioritaires (si ce n’est l’isolation des dalles de sol qui nécessite parfois de lourds travaux). En effet, </w:t>
      </w:r>
      <w:r w:rsidRPr="00FB5FDD">
        <w:t xml:space="preserve">la volonté est d’inciter en premier lieu à la réduction des besoins. </w:t>
      </w:r>
    </w:p>
    <w:p w14:paraId="6667BCDE" w14:textId="77777777" w:rsidR="00FC6D65" w:rsidRPr="00FB5FDD" w:rsidRDefault="00FC6D65" w:rsidP="00225EC6">
      <w:pPr>
        <w:jc w:val="both"/>
      </w:pPr>
      <w:r w:rsidRPr="00FB5FDD">
        <w:t xml:space="preserve">- Les travaux sur enveloppe nécessitent une grande quantité de matériaux, lesquels ont un impact non-négligeable sur l’environnement. Une volonté supplémentaire est de favoriser l’utilisation de matériaux plus écologiques, d’où la priorité accordée aux analyses de cycle de vie et aux matériaux de réemploi. </w:t>
      </w:r>
    </w:p>
    <w:p w14:paraId="34C572E1" w14:textId="77777777" w:rsidR="00CA4531" w:rsidRPr="00FB5FDD" w:rsidRDefault="00FC6D65" w:rsidP="00225EC6">
      <w:pPr>
        <w:jc w:val="both"/>
      </w:pPr>
      <w:r w:rsidRPr="00FB5FDD">
        <w:t xml:space="preserve">- Les travaux sur enveloppe ayant un impact certain sur la qualité de l’air intérieur, une bonne isolation implique de disposer d’un système de ventilation. C’est pourquoi la priorité accordée à la ventilation est relativement importante. </w:t>
      </w:r>
      <w:r w:rsidR="00CA4531" w:rsidRPr="00FB5FDD">
        <w:t xml:space="preserve"> </w:t>
      </w:r>
    </w:p>
    <w:p w14:paraId="15D5009A" w14:textId="77777777" w:rsidR="00CA4531" w:rsidRPr="00FB5FDD" w:rsidRDefault="00FC6D65" w:rsidP="00225EC6">
      <w:pPr>
        <w:jc w:val="both"/>
      </w:pPr>
      <w:r w:rsidRPr="00FB5FDD">
        <w:t xml:space="preserve">- </w:t>
      </w:r>
      <w:r w:rsidR="00CA4531" w:rsidRPr="00FB5FDD">
        <w:t>U</w:t>
      </w:r>
      <w:r w:rsidR="00BA33D9" w:rsidRPr="00FB5FDD">
        <w:t>ne priorité maximale a</w:t>
      </w:r>
      <w:r w:rsidR="00CA4531" w:rsidRPr="00FB5FDD">
        <w:t xml:space="preserve"> été attribuée à toutes les mesures d’utilisation rationnelle de l’énergie. Il s’agit généralement de ‘quick-</w:t>
      </w:r>
      <w:proofErr w:type="spellStart"/>
      <w:r w:rsidR="00CA4531" w:rsidRPr="00FB5FDD">
        <w:t>wins</w:t>
      </w:r>
      <w:proofErr w:type="spellEnd"/>
      <w:r w:rsidR="00CA4531" w:rsidRPr="00FB5FDD">
        <w:t xml:space="preserve">’, des mesures peu coûteuses, qui ensemble peuvent mener à des réductions très importantes des consommations énergétiques. </w:t>
      </w:r>
    </w:p>
    <w:p w14:paraId="2784C5C6" w14:textId="77777777" w:rsidR="00FC6D65" w:rsidRPr="00FB5FDD" w:rsidRDefault="00FC6D65" w:rsidP="00225EC6">
      <w:pPr>
        <w:jc w:val="both"/>
      </w:pPr>
      <w:r w:rsidRPr="00FB5FDD">
        <w:t xml:space="preserve">- Les travaux relatifs au chauffage et à l’ECS sont considérés moins prioritaires. </w:t>
      </w:r>
      <w:r w:rsidR="003B77E9" w:rsidRPr="00FB5FDD">
        <w:t xml:space="preserve">Une plus grande priorité a tout de même été octroyée lorsque </w:t>
      </w:r>
      <w:r w:rsidR="00CF7445" w:rsidRPr="00FB5FDD">
        <w:t xml:space="preserve">des énergies renouvelables sont impliquées. La priorité (et l’impact carbone) du système ECS peut varier </w:t>
      </w:r>
      <w:r w:rsidR="00845F1D" w:rsidRPr="00FB5FDD">
        <w:t>grande</w:t>
      </w:r>
      <w:r w:rsidR="00CF7445" w:rsidRPr="00FB5FDD">
        <w:t xml:space="preserve">ment en fonction des établissements, c’est pourquoi deux lignes sont dédiées dans l’outil d’évaluation à la rénovation du système ECS, en fonction de l’importance des consommations relatives à l’ECS. </w:t>
      </w:r>
    </w:p>
    <w:p w14:paraId="2BA40EC1" w14:textId="77777777" w:rsidR="005937D7" w:rsidRPr="00FB5FDD" w:rsidRDefault="005937D7" w:rsidP="00225EC6">
      <w:pPr>
        <w:jc w:val="both"/>
      </w:pPr>
      <w:r w:rsidRPr="00FB5FDD">
        <w:t>- L’éclairage fonctionne grâce à l’électricité, qui a un impact important en termes d’énergie primaire. C’est pourquoi il a ét</w:t>
      </w:r>
      <w:r w:rsidR="003B0D7D">
        <w:t>é décidé d’attribuer un indice 3</w:t>
      </w:r>
      <w:r w:rsidRPr="00FB5FDD">
        <w:t xml:space="preserve"> de priorité aux travaux de </w:t>
      </w:r>
      <w:proofErr w:type="spellStart"/>
      <w:r w:rsidRPr="00FB5FDD">
        <w:t>relighting</w:t>
      </w:r>
      <w:proofErr w:type="spellEnd"/>
      <w:r w:rsidRPr="00FB5FDD">
        <w:t>.</w:t>
      </w:r>
    </w:p>
    <w:sectPr w:rsidR="005937D7" w:rsidRPr="00FB5FD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3CC9" w14:textId="77777777" w:rsidR="00295E7A" w:rsidRDefault="00295E7A" w:rsidP="008B3597">
      <w:pPr>
        <w:spacing w:after="0" w:line="240" w:lineRule="auto"/>
      </w:pPr>
      <w:r>
        <w:separator/>
      </w:r>
    </w:p>
  </w:endnote>
  <w:endnote w:type="continuationSeparator" w:id="0">
    <w:p w14:paraId="07BA242E" w14:textId="77777777" w:rsidR="00295E7A" w:rsidRDefault="00295E7A" w:rsidP="008B3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01837"/>
      <w:docPartObj>
        <w:docPartGallery w:val="Page Numbers (Bottom of Page)"/>
        <w:docPartUnique/>
      </w:docPartObj>
    </w:sdtPr>
    <w:sdtEndPr/>
    <w:sdtContent>
      <w:p w14:paraId="2B779210" w14:textId="77777777" w:rsidR="00A04409" w:rsidRDefault="00A04409">
        <w:pPr>
          <w:pStyle w:val="Pieddepage"/>
          <w:jc w:val="right"/>
        </w:pPr>
        <w:r>
          <w:fldChar w:fldCharType="begin"/>
        </w:r>
        <w:r>
          <w:instrText>PAGE   \* MERGEFORMAT</w:instrText>
        </w:r>
        <w:r>
          <w:fldChar w:fldCharType="separate"/>
        </w:r>
        <w:r w:rsidR="00CE34F5" w:rsidRPr="00CE34F5">
          <w:rPr>
            <w:noProof/>
            <w:lang w:val="fr-FR"/>
          </w:rPr>
          <w:t>1</w:t>
        </w:r>
        <w:r>
          <w:fldChar w:fldCharType="end"/>
        </w:r>
      </w:p>
    </w:sdtContent>
  </w:sdt>
  <w:p w14:paraId="252B44EF" w14:textId="77777777" w:rsidR="00A04409" w:rsidRDefault="00A044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B6C8" w14:textId="77777777" w:rsidR="00295E7A" w:rsidRDefault="00295E7A" w:rsidP="008B3597">
      <w:pPr>
        <w:spacing w:after="0" w:line="240" w:lineRule="auto"/>
      </w:pPr>
      <w:r>
        <w:separator/>
      </w:r>
    </w:p>
  </w:footnote>
  <w:footnote w:type="continuationSeparator" w:id="0">
    <w:p w14:paraId="61BBFB53" w14:textId="77777777" w:rsidR="00295E7A" w:rsidRDefault="00295E7A" w:rsidP="008B3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8A2D" w14:textId="77777777" w:rsidR="00A04409" w:rsidRDefault="00A04409">
    <w:pPr>
      <w:pStyle w:val="En-tte"/>
    </w:pPr>
    <w:r>
      <w:rPr>
        <w:i/>
        <w:noProof/>
        <w:lang w:eastAsia="fr-BE"/>
      </w:rPr>
      <w:drawing>
        <wp:anchor distT="0" distB="0" distL="114300" distR="114300" simplePos="0" relativeHeight="251658240" behindDoc="0" locked="0" layoutInCell="1" allowOverlap="1" wp14:anchorId="1A6D6717" wp14:editId="7218A0CA">
          <wp:simplePos x="0" y="0"/>
          <wp:positionH relativeFrom="column">
            <wp:posOffset>-678815</wp:posOffset>
          </wp:positionH>
          <wp:positionV relativeFrom="paragraph">
            <wp:posOffset>-350520</wp:posOffset>
          </wp:positionV>
          <wp:extent cx="789305" cy="7086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5"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1D0"/>
    <w:rsid w:val="00005281"/>
    <w:rsid w:val="0002627B"/>
    <w:rsid w:val="00047ED7"/>
    <w:rsid w:val="000A0965"/>
    <w:rsid w:val="000D28DE"/>
    <w:rsid w:val="000E5E2D"/>
    <w:rsid w:val="000E6438"/>
    <w:rsid w:val="00151459"/>
    <w:rsid w:val="00152990"/>
    <w:rsid w:val="001768A6"/>
    <w:rsid w:val="001915DF"/>
    <w:rsid w:val="001B4392"/>
    <w:rsid w:val="001C4F8D"/>
    <w:rsid w:val="001E41AE"/>
    <w:rsid w:val="00202ACD"/>
    <w:rsid w:val="002223F8"/>
    <w:rsid w:val="00225EC6"/>
    <w:rsid w:val="002459CD"/>
    <w:rsid w:val="00284391"/>
    <w:rsid w:val="00295E7A"/>
    <w:rsid w:val="002C2A39"/>
    <w:rsid w:val="002D13B5"/>
    <w:rsid w:val="00311318"/>
    <w:rsid w:val="0035479A"/>
    <w:rsid w:val="003643E0"/>
    <w:rsid w:val="00375C17"/>
    <w:rsid w:val="0037738E"/>
    <w:rsid w:val="003A0AAA"/>
    <w:rsid w:val="003A669E"/>
    <w:rsid w:val="003B0D7D"/>
    <w:rsid w:val="003B77E9"/>
    <w:rsid w:val="003C4763"/>
    <w:rsid w:val="003F229D"/>
    <w:rsid w:val="00402932"/>
    <w:rsid w:val="00430CB5"/>
    <w:rsid w:val="00451BE8"/>
    <w:rsid w:val="004603DC"/>
    <w:rsid w:val="00481202"/>
    <w:rsid w:val="00487524"/>
    <w:rsid w:val="00494079"/>
    <w:rsid w:val="004C2E98"/>
    <w:rsid w:val="004C5ACC"/>
    <w:rsid w:val="004C6850"/>
    <w:rsid w:val="004E1AED"/>
    <w:rsid w:val="004E34BF"/>
    <w:rsid w:val="00510DED"/>
    <w:rsid w:val="00514C0D"/>
    <w:rsid w:val="00532326"/>
    <w:rsid w:val="00584A2B"/>
    <w:rsid w:val="005937D7"/>
    <w:rsid w:val="005A7C49"/>
    <w:rsid w:val="005B1C49"/>
    <w:rsid w:val="005B2900"/>
    <w:rsid w:val="005C58A3"/>
    <w:rsid w:val="005E5722"/>
    <w:rsid w:val="005F7FE7"/>
    <w:rsid w:val="00607DD4"/>
    <w:rsid w:val="006446EC"/>
    <w:rsid w:val="00674FC7"/>
    <w:rsid w:val="00677BDC"/>
    <w:rsid w:val="006B6238"/>
    <w:rsid w:val="00710989"/>
    <w:rsid w:val="00715B7E"/>
    <w:rsid w:val="007444D6"/>
    <w:rsid w:val="00754595"/>
    <w:rsid w:val="007609B4"/>
    <w:rsid w:val="007610B0"/>
    <w:rsid w:val="007A6703"/>
    <w:rsid w:val="007E7992"/>
    <w:rsid w:val="00810459"/>
    <w:rsid w:val="008211EE"/>
    <w:rsid w:val="00836E51"/>
    <w:rsid w:val="008424CA"/>
    <w:rsid w:val="0084312A"/>
    <w:rsid w:val="00843C8C"/>
    <w:rsid w:val="0084526C"/>
    <w:rsid w:val="00845F1D"/>
    <w:rsid w:val="00861F5D"/>
    <w:rsid w:val="00870A46"/>
    <w:rsid w:val="00873B22"/>
    <w:rsid w:val="00887C97"/>
    <w:rsid w:val="008B3597"/>
    <w:rsid w:val="008C300F"/>
    <w:rsid w:val="008E5453"/>
    <w:rsid w:val="00910A4F"/>
    <w:rsid w:val="00922D79"/>
    <w:rsid w:val="009331AF"/>
    <w:rsid w:val="009471D0"/>
    <w:rsid w:val="0095607F"/>
    <w:rsid w:val="00965876"/>
    <w:rsid w:val="00993D34"/>
    <w:rsid w:val="009C0285"/>
    <w:rsid w:val="00A04409"/>
    <w:rsid w:val="00A1411E"/>
    <w:rsid w:val="00A20855"/>
    <w:rsid w:val="00A2183B"/>
    <w:rsid w:val="00A22818"/>
    <w:rsid w:val="00A512E6"/>
    <w:rsid w:val="00A54874"/>
    <w:rsid w:val="00A85979"/>
    <w:rsid w:val="00A9391A"/>
    <w:rsid w:val="00AA1AD8"/>
    <w:rsid w:val="00AB2D06"/>
    <w:rsid w:val="00AC4D44"/>
    <w:rsid w:val="00B2701C"/>
    <w:rsid w:val="00B5227C"/>
    <w:rsid w:val="00B60CF3"/>
    <w:rsid w:val="00B64CE5"/>
    <w:rsid w:val="00B64EE4"/>
    <w:rsid w:val="00B724AB"/>
    <w:rsid w:val="00B74C85"/>
    <w:rsid w:val="00B8258C"/>
    <w:rsid w:val="00B8420A"/>
    <w:rsid w:val="00BA33D9"/>
    <w:rsid w:val="00BA4292"/>
    <w:rsid w:val="00C34ADB"/>
    <w:rsid w:val="00C376E0"/>
    <w:rsid w:val="00C744FE"/>
    <w:rsid w:val="00CA4531"/>
    <w:rsid w:val="00CA5E93"/>
    <w:rsid w:val="00CB637C"/>
    <w:rsid w:val="00CD0330"/>
    <w:rsid w:val="00CE34F5"/>
    <w:rsid w:val="00CF7445"/>
    <w:rsid w:val="00D12CFD"/>
    <w:rsid w:val="00D1409E"/>
    <w:rsid w:val="00D1502E"/>
    <w:rsid w:val="00D33300"/>
    <w:rsid w:val="00D46901"/>
    <w:rsid w:val="00DE1EF1"/>
    <w:rsid w:val="00DF23F9"/>
    <w:rsid w:val="00E22985"/>
    <w:rsid w:val="00E5453A"/>
    <w:rsid w:val="00E5480E"/>
    <w:rsid w:val="00E6514C"/>
    <w:rsid w:val="00E65AB4"/>
    <w:rsid w:val="00E919F7"/>
    <w:rsid w:val="00EA157C"/>
    <w:rsid w:val="00F12CF7"/>
    <w:rsid w:val="00F12E36"/>
    <w:rsid w:val="00F502B1"/>
    <w:rsid w:val="00F55E3A"/>
    <w:rsid w:val="00F67558"/>
    <w:rsid w:val="00F939D8"/>
    <w:rsid w:val="00FB5FDD"/>
    <w:rsid w:val="00FC6D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C9FE7"/>
  <w15:chartTrackingRefBased/>
  <w15:docId w15:val="{0FF6E508-0551-4638-BC01-DBCE519B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C5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C58A3"/>
    <w:pPr>
      <w:ind w:left="720"/>
      <w:contextualSpacing/>
    </w:pPr>
  </w:style>
  <w:style w:type="table" w:styleId="TableauListe6Couleur">
    <w:name w:val="List Table 6 Colorful"/>
    <w:basedOn w:val="TableauNormal"/>
    <w:uiPriority w:val="51"/>
    <w:rsid w:val="007E799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2">
    <w:name w:val="Plain Table 2"/>
    <w:basedOn w:val="TableauNormal"/>
    <w:uiPriority w:val="42"/>
    <w:rsid w:val="007E79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edelespacerserv">
    <w:name w:val="Placeholder Text"/>
    <w:basedOn w:val="Policepardfaut"/>
    <w:uiPriority w:val="99"/>
    <w:semiHidden/>
    <w:rsid w:val="00D46901"/>
    <w:rPr>
      <w:color w:val="808080"/>
    </w:rPr>
  </w:style>
  <w:style w:type="paragraph" w:styleId="En-tte">
    <w:name w:val="header"/>
    <w:basedOn w:val="Normal"/>
    <w:link w:val="En-tteCar"/>
    <w:uiPriority w:val="99"/>
    <w:unhideWhenUsed/>
    <w:rsid w:val="008B3597"/>
    <w:pPr>
      <w:tabs>
        <w:tab w:val="center" w:pos="4536"/>
        <w:tab w:val="right" w:pos="9072"/>
      </w:tabs>
      <w:spacing w:after="0" w:line="240" w:lineRule="auto"/>
    </w:pPr>
  </w:style>
  <w:style w:type="character" w:customStyle="1" w:styleId="En-tteCar">
    <w:name w:val="En-tête Car"/>
    <w:basedOn w:val="Policepardfaut"/>
    <w:link w:val="En-tte"/>
    <w:uiPriority w:val="99"/>
    <w:rsid w:val="008B3597"/>
  </w:style>
  <w:style w:type="paragraph" w:styleId="Pieddepage">
    <w:name w:val="footer"/>
    <w:basedOn w:val="Normal"/>
    <w:link w:val="PieddepageCar"/>
    <w:uiPriority w:val="99"/>
    <w:unhideWhenUsed/>
    <w:rsid w:val="008B35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3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AD935530555C42A084894075EE0D72" ma:contentTypeVersion="14" ma:contentTypeDescription="Een nieuw document maken." ma:contentTypeScope="" ma:versionID="21817bd3e24b1a68c9f2d971dce942a3">
  <xsd:schema xmlns:xsd="http://www.w3.org/2001/XMLSchema" xmlns:xs="http://www.w3.org/2001/XMLSchema" xmlns:p="http://schemas.microsoft.com/office/2006/metadata/properties" xmlns:ns2="fe2b0c3a-3fef-4227-8d99-a234e1de6979" xmlns:ns3="92039a0b-67c6-4497-bda6-93094639682b" targetNamespace="http://schemas.microsoft.com/office/2006/metadata/properties" ma:root="true" ma:fieldsID="8dbc13909207266e8aff9de6dc6f49d7" ns2:_="" ns3:_="">
    <xsd:import namespace="fe2b0c3a-3fef-4227-8d99-a234e1de6979"/>
    <xsd:import namespace="92039a0b-67c6-4497-bda6-9309463968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Aper_x00e7_u"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b0c3a-3fef-4227-8d99-a234e1de6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Aper_x00e7_u" ma:index="19" nillable="true" ma:displayName="Aperçu" ma:format="Thumbnail" ma:internalName="Aper_x00e7_u">
      <xsd:simpleType>
        <xsd:restriction base="dms:Unknow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039a0b-67c6-4497-bda6-93094639682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er_x00e7_u xmlns="fe2b0c3a-3fef-4227-8d99-a234e1de6979" xsi:nil="true"/>
    <Date xmlns="fe2b0c3a-3fef-4227-8d99-a234e1de6979" xsi:nil="true"/>
  </documentManagement>
</p:properties>
</file>

<file path=customXml/itemProps1.xml><?xml version="1.0" encoding="utf-8"?>
<ds:datastoreItem xmlns:ds="http://schemas.openxmlformats.org/officeDocument/2006/customXml" ds:itemID="{0FACE142-8AB9-4E1A-8BA9-4DCB660254EF}">
  <ds:schemaRefs>
    <ds:schemaRef ds:uri="http://schemas.microsoft.com/sharepoint/v3/contenttype/forms"/>
  </ds:schemaRefs>
</ds:datastoreItem>
</file>

<file path=customXml/itemProps2.xml><?xml version="1.0" encoding="utf-8"?>
<ds:datastoreItem xmlns:ds="http://schemas.openxmlformats.org/officeDocument/2006/customXml" ds:itemID="{28C3FB0F-72FF-4A38-928F-D089E7C207E9}"/>
</file>

<file path=customXml/itemProps3.xml><?xml version="1.0" encoding="utf-8"?>
<ds:datastoreItem xmlns:ds="http://schemas.openxmlformats.org/officeDocument/2006/customXml" ds:itemID="{92484E9B-AEBD-4F54-99C4-A39D640E10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2424</Words>
  <Characters>13333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Karim</dc:creator>
  <cp:keywords/>
  <dc:description/>
  <cp:lastModifiedBy>Sophie LEVEQUE</cp:lastModifiedBy>
  <cp:revision>3</cp:revision>
  <dcterms:created xsi:type="dcterms:W3CDTF">2021-10-11T08:07:00Z</dcterms:created>
  <dcterms:modified xsi:type="dcterms:W3CDTF">2021-10-11T09:06:00Z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0x010100AFAD935530555C42A084894075EE0D72</vt:lpwstr>
  </property>
</Properties>
</file>